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ind w:left="2029"/>
        <w:spacing w:before="231" w:line="223" w:lineRule="auto"/>
        <w:outlineLvl w:val="0"/>
        <w:rPr>
          <w:rFonts w:ascii="SimHei" w:hAnsi="SimHei" w:eastAsia="SimHei" w:cs="SimHei"/>
          <w:sz w:val="71"/>
          <w:szCs w:val="71"/>
        </w:rPr>
      </w:pPr>
      <w:r>
        <w:rPr>
          <w:rFonts w:ascii="SimHei" w:hAnsi="SimHei" w:eastAsia="SimHei" w:cs="SimHei"/>
          <w:sz w:val="71"/>
          <w:szCs w:val="71"/>
          <w:b/>
          <w:bCs/>
          <w:spacing w:val="-1"/>
        </w:rPr>
        <w:t>华南农业大学</w:t>
      </w:r>
    </w:p>
    <w:p>
      <w:pPr>
        <w:ind w:left="2021"/>
        <w:spacing w:before="359" w:line="223" w:lineRule="auto"/>
        <w:outlineLvl w:val="0"/>
        <w:rPr>
          <w:rFonts w:ascii="SimHei" w:hAnsi="SimHei" w:eastAsia="SimHei" w:cs="SimHei"/>
          <w:sz w:val="71"/>
          <w:szCs w:val="71"/>
        </w:rPr>
      </w:pPr>
      <w:r>
        <w:rPr>
          <w:rFonts w:ascii="SimHei" w:hAnsi="SimHei" w:eastAsia="SimHei" w:cs="SimHei"/>
          <w:sz w:val="71"/>
          <w:szCs w:val="71"/>
          <w:b/>
          <w:bCs/>
          <w:spacing w:val="1"/>
        </w:rPr>
        <w:t>植物保护学院</w:t>
      </w:r>
    </w:p>
    <w:p>
      <w:pPr>
        <w:ind w:left="573"/>
        <w:spacing w:before="359" w:line="223" w:lineRule="auto"/>
        <w:outlineLvl w:val="0"/>
        <w:rPr>
          <w:rFonts w:ascii="SimHei" w:hAnsi="SimHei" w:eastAsia="SimHei" w:cs="SimHei"/>
          <w:sz w:val="71"/>
          <w:szCs w:val="71"/>
        </w:rPr>
      </w:pPr>
      <w:r>
        <w:rPr>
          <w:rFonts w:ascii="SimHei" w:hAnsi="SimHei" w:eastAsia="SimHei" w:cs="SimHei"/>
          <w:sz w:val="71"/>
          <w:szCs w:val="71"/>
          <w:b/>
          <w:bCs/>
          <w:spacing w:val="3"/>
        </w:rPr>
        <w:t>研究生奖学金评选办法</w:t>
      </w:r>
    </w:p>
    <w:p>
      <w:pPr>
        <w:ind w:left="3112"/>
        <w:spacing w:before="340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6"/>
        </w:rPr>
        <w:t>（修订稿）</w:t>
      </w:r>
    </w:p>
    <w:p>
      <w:pPr>
        <w:pStyle w:val="BodyText"/>
        <w:spacing w:line="284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ind w:left="3020"/>
        <w:spacing w:before="140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5"/>
        </w:rPr>
        <w:t>2024</w:t>
      </w:r>
      <w:r>
        <w:rPr>
          <w:rFonts w:ascii="SimHei" w:hAnsi="SimHei" w:eastAsia="SimHei" w:cs="SimHei"/>
          <w:sz w:val="43"/>
          <w:szCs w:val="43"/>
          <w:spacing w:val="-82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5"/>
        </w:rPr>
        <w:t>年</w:t>
      </w:r>
      <w:r>
        <w:rPr>
          <w:rFonts w:ascii="SimHei" w:hAnsi="SimHei" w:eastAsia="SimHei" w:cs="SimHei"/>
          <w:sz w:val="43"/>
          <w:szCs w:val="43"/>
          <w:spacing w:val="-97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5"/>
        </w:rPr>
        <w:t>4</w:t>
      </w:r>
      <w:r>
        <w:rPr>
          <w:rFonts w:ascii="SimHei" w:hAnsi="SimHei" w:eastAsia="SimHei" w:cs="SimHei"/>
          <w:sz w:val="43"/>
          <w:szCs w:val="43"/>
          <w:spacing w:val="-76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5"/>
        </w:rPr>
        <w:t>月</w:t>
      </w:r>
    </w:p>
    <w:p>
      <w:pPr>
        <w:spacing w:line="227" w:lineRule="auto"/>
        <w:sectPr>
          <w:pgSz w:w="11906" w:h="16839"/>
          <w:pgMar w:top="1431" w:right="1785" w:bottom="0" w:left="1785" w:header="0" w:footer="0" w:gutter="0"/>
        </w:sectPr>
        <w:rPr>
          <w:rFonts w:ascii="SimHei" w:hAnsi="SimHei" w:eastAsia="SimHei" w:cs="SimHei"/>
          <w:sz w:val="43"/>
          <w:szCs w:val="43"/>
        </w:rPr>
      </w:pPr>
    </w:p>
    <w:sdt>
      <w:sdtPr>
        <w:rPr>
          <w:rFonts w:ascii="SimHei" w:hAnsi="SimHei" w:eastAsia="SimHei" w:cs="SimHei"/>
          <w:sz w:val="24"/>
          <w:szCs w:val="24"/>
        </w:rPr>
        <w:docPartObj>
          <w:docPartGallery w:val="Table of Contents"/>
          <w:docPartUnique/>
        </w:docPartObj>
      </w:sdtPr>
      <w:sdtEndPr>
        <w:rPr>
          <w:rFonts w:ascii="SimHei" w:hAnsi="SimHei" w:eastAsia="SimHei" w:cs="SimHei"/>
          <w:sz w:val="24"/>
          <w:szCs w:val="24"/>
        </w:rPr>
      </w:sdtEndPr>
      <w:sdtContent>
        <w:p>
          <w:pPr>
            <w:ind w:left="4325"/>
            <w:spacing w:before="48" w:line="222" w:lineRule="auto"/>
            <w:rPr>
              <w:rFonts w:ascii="SimHei" w:hAnsi="SimHei" w:eastAsia="SimHei" w:cs="SimHei"/>
              <w:sz w:val="24"/>
              <w:szCs w:val="24"/>
            </w:rPr>
          </w:pPr>
          <w:bookmarkStart w:name="bookmark1" w:id="1"/>
          <w:bookmarkEnd w:id="1"/>
          <w:r>
            <w:rPr>
              <w:rFonts w:ascii="SimHei" w:hAnsi="SimHei" w:eastAsia="SimHei" w:cs="SimHei"/>
              <w:sz w:val="24"/>
              <w:szCs w:val="24"/>
              <w:color w:val="333333"/>
              <w:spacing w:val="-20"/>
            </w:rPr>
            <w:t>目录</w:t>
          </w:r>
        </w:p>
        <w:p>
          <w:pPr>
            <w:ind w:left="27"/>
            <w:spacing w:before="3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" w:id="2"/>
          <w:bookmarkEnd w:id="2"/>
          <w:hyperlink w:history="true" w:anchor="bookmark2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3"/>
              </w:rPr>
              <w:t>一、评选对象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0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27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" w:id="3"/>
          <w:bookmarkEnd w:id="3"/>
          <w:hyperlink w:history="true" w:anchor="bookmark3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3"/>
              </w:rPr>
              <w:t>二、评选时间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0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28"/>
            <w:spacing w:before="11" w:line="221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4" w:id="4"/>
          <w:bookmarkEnd w:id="4"/>
          <w:hyperlink w:history="true" w:anchor="bookmark4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"/>
              </w:rPr>
              <w:t>三、奖学金标准与比例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9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601"/>
            <w:spacing w:before="12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5" w:id="5"/>
          <w:bookmarkEnd w:id="5"/>
          <w:hyperlink w:history="true" w:anchor="bookmark5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5"/>
              </w:rPr>
              <w:t>（一）学业奖学金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9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4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760"/>
            <w:spacing w:before="15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6" w:id="6"/>
          <w:bookmarkEnd w:id="6"/>
          <w:hyperlink w:history="true" w:anchor="bookmark6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"/>
              </w:rPr>
              <w:t>1.学业奖学金分为博士研究生学业奖学金和硕士研究生学业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745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7" w:id="7"/>
          <w:bookmarkEnd w:id="7"/>
          <w:hyperlink w:history="true" w:anchor="bookmark7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2"/>
              </w:rPr>
              <w:t>2.指标分配原则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754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8" w:id="8"/>
          <w:bookmarkEnd w:id="8"/>
          <w:hyperlink w:history="true" w:anchor="bookmark8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（1）研究生新生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754"/>
            <w:spacing w:before="11" w:line="224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9" w:id="9"/>
          <w:bookmarkEnd w:id="9"/>
          <w:hyperlink w:history="true" w:anchor="bookmark9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（2）研究生老生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2"/>
              </w:rPr>
              <w:t>1</w:t>
            </w:r>
          </w:hyperlink>
        </w:p>
        <w:p>
          <w:pPr>
            <w:ind w:left="601"/>
            <w:spacing w:before="9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0" w:id="10"/>
          <w:bookmarkEnd w:id="10"/>
          <w:hyperlink w:history="true" w:anchor="bookmark10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5"/>
              </w:rPr>
              <w:t>（二）国家奖学金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9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6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2</w:t>
            </w:r>
          </w:hyperlink>
        </w:p>
        <w:p>
          <w:pPr>
            <w:ind w:left="760"/>
            <w:spacing w:before="15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1" w:id="11"/>
          <w:bookmarkEnd w:id="11"/>
          <w:hyperlink w:history="true" w:anchor="bookmark11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"/>
              </w:rPr>
              <w:t>1.国家奖学金分为博士研究生国家奖学金和硕士研究生国家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2</w:t>
            </w:r>
          </w:hyperlink>
        </w:p>
        <w:p>
          <w:pPr>
            <w:ind w:left="745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2" w:id="12"/>
          <w:bookmarkEnd w:id="12"/>
          <w:hyperlink w:history="true" w:anchor="bookmark12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2"/>
              </w:rPr>
              <w:t>2.指标分配原则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2</w:t>
            </w:r>
          </w:hyperlink>
        </w:p>
        <w:p>
          <w:pPr>
            <w:ind w:left="754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3" w:id="13"/>
          <w:bookmarkEnd w:id="13"/>
          <w:hyperlink w:history="true" w:anchor="bookmark13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（1）研究生新生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2</w:t>
            </w:r>
          </w:hyperlink>
        </w:p>
        <w:p>
          <w:pPr>
            <w:ind w:left="754"/>
            <w:spacing w:before="11" w:line="224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4" w:id="14"/>
          <w:bookmarkEnd w:id="14"/>
          <w:hyperlink w:history="true" w:anchor="bookmark14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（2）研究生老生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2</w:t>
            </w:r>
          </w:hyperlink>
        </w:p>
        <w:p>
          <w:pPr>
            <w:ind w:left="37"/>
            <w:spacing w:before="9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5" w:id="15"/>
          <w:bookmarkEnd w:id="15"/>
          <w:hyperlink w:history="true" w:anchor="bookmark15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3"/>
              </w:rPr>
              <w:t>四、评选基本条件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8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2</w:t>
            </w:r>
          </w:hyperlink>
        </w:p>
        <w:p>
          <w:pPr>
            <w:ind w:left="29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6" w:id="16"/>
          <w:bookmarkEnd w:id="16"/>
          <w:hyperlink w:history="true" w:anchor="bookmark16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"/>
              </w:rPr>
              <w:t>五、评选项目及评分标准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9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8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3</w:t>
            </w:r>
          </w:hyperlink>
        </w:p>
        <w:p>
          <w:pPr>
            <w:ind w:left="601"/>
            <w:spacing w:before="12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7" w:id="17"/>
          <w:bookmarkEnd w:id="17"/>
          <w:hyperlink w:history="true" w:anchor="bookmark17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4"/>
              </w:rPr>
              <w:t>（一）新生学业奖学金评选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9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6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3</w:t>
            </w:r>
          </w:hyperlink>
        </w:p>
        <w:p>
          <w:pPr>
            <w:ind w:left="760"/>
            <w:spacing w:before="14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8" w:id="18"/>
          <w:bookmarkEnd w:id="18"/>
          <w:hyperlink w:history="true" w:anchor="bookmark18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4"/>
              </w:rPr>
              <w:t>1.硕士生新生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3</w:t>
            </w:r>
          </w:hyperlink>
        </w:p>
        <w:p>
          <w:pPr>
            <w:ind w:left="754"/>
            <w:spacing w:before="12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19" w:id="19"/>
          <w:bookmarkEnd w:id="19"/>
          <w:hyperlink w:history="true" w:anchor="bookmark19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（1）优先条件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3</w:t>
            </w:r>
          </w:hyperlink>
        </w:p>
        <w:p>
          <w:pPr>
            <w:ind w:left="754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0" w:id="20"/>
          <w:bookmarkEnd w:id="20"/>
          <w:hyperlink w:history="true" w:anchor="bookmark20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（2）评选办法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3</w:t>
            </w:r>
          </w:hyperlink>
        </w:p>
        <w:p>
          <w:pPr>
            <w:ind w:left="745"/>
            <w:spacing w:before="12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1" w:id="21"/>
          <w:bookmarkEnd w:id="21"/>
          <w:hyperlink w:history="true" w:anchor="bookmark21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2"/>
              </w:rPr>
              <w:t>2.博士生新生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4</w:t>
            </w:r>
          </w:hyperlink>
        </w:p>
        <w:p>
          <w:pPr>
            <w:ind w:left="754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2" w:id="22"/>
          <w:bookmarkEnd w:id="22"/>
          <w:hyperlink w:history="true" w:anchor="bookmark22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（1）优先条件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4</w:t>
            </w:r>
          </w:hyperlink>
        </w:p>
        <w:p>
          <w:pPr>
            <w:ind w:left="754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3" w:id="23"/>
          <w:bookmarkEnd w:id="23"/>
          <w:hyperlink w:history="true" w:anchor="bookmark23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（2）评选办法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4</w:t>
            </w:r>
          </w:hyperlink>
        </w:p>
        <w:p>
          <w:pPr>
            <w:ind w:left="601"/>
            <w:spacing w:before="11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4" w:id="24"/>
          <w:bookmarkEnd w:id="24"/>
          <w:hyperlink w:history="true" w:anchor="bookmark24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3"/>
              </w:rPr>
              <w:t>（二）老生学业奖学金和国家奖学金评选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10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7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5</w:t>
            </w:r>
          </w:hyperlink>
        </w:p>
        <w:p>
          <w:pPr>
            <w:ind w:left="760"/>
            <w:spacing w:before="15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5" w:id="25"/>
          <w:bookmarkEnd w:id="25"/>
          <w:hyperlink w:history="true" w:anchor="bookmark25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1.优先获奖的评选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5</w:t>
            </w:r>
          </w:hyperlink>
        </w:p>
        <w:p>
          <w:pPr>
            <w:ind w:left="754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6" w:id="26"/>
          <w:bookmarkEnd w:id="26"/>
          <w:hyperlink w:history="true" w:anchor="bookmark26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（1）学业一等奖学金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5</w:t>
            </w:r>
          </w:hyperlink>
        </w:p>
        <w:p>
          <w:pPr>
            <w:ind w:left="754"/>
            <w:spacing w:before="12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7" w:id="27"/>
          <w:bookmarkEnd w:id="27"/>
          <w:hyperlink w:history="true" w:anchor="bookmark27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（2）国家奖学金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5</w:t>
            </w:r>
          </w:hyperlink>
        </w:p>
        <w:p>
          <w:pPr>
            <w:ind w:left="745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8" w:id="28"/>
          <w:bookmarkEnd w:id="28"/>
          <w:hyperlink w:history="true" w:anchor="bookmark28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2"/>
              </w:rPr>
              <w:t>2.常规获奖的评选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8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6</w:t>
            </w:r>
          </w:hyperlink>
        </w:p>
        <w:p>
          <w:pPr>
            <w:ind w:left="754"/>
            <w:spacing w:before="11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29" w:id="29"/>
          <w:bookmarkEnd w:id="29"/>
          <w:hyperlink w:history="true" w:anchor="bookmark29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（1）评选办法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6</w:t>
            </w:r>
          </w:hyperlink>
        </w:p>
        <w:p>
          <w:pPr>
            <w:ind w:left="754"/>
            <w:spacing w:before="12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0" w:id="30"/>
          <w:bookmarkEnd w:id="30"/>
          <w:hyperlink w:history="true" w:anchor="bookmark30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（2）具体评选项目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8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8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>6</w:t>
            </w:r>
          </w:hyperlink>
        </w:p>
        <w:p>
          <w:pPr>
            <w:ind w:left="30"/>
            <w:spacing w:before="10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1" w:id="31"/>
          <w:bookmarkEnd w:id="31"/>
          <w:hyperlink w:history="true" w:anchor="bookmark31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"/>
              </w:rPr>
              <w:t>六、评审组织与程序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601"/>
            <w:spacing w:before="12" w:line="219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2" w:id="32"/>
          <w:bookmarkEnd w:id="32"/>
          <w:hyperlink w:history="true" w:anchor="bookmark32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3"/>
              </w:rPr>
              <w:t>（一）成立学院研究生奖学金评审委员会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10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5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601"/>
            <w:spacing w:before="15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3" w:id="33"/>
          <w:bookmarkEnd w:id="33"/>
          <w:hyperlink w:history="true" w:anchor="bookmark33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3"/>
              </w:rPr>
              <w:t>（二）成立学院奖学金评比工作小组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5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601"/>
            <w:spacing w:before="14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4" w:id="34"/>
          <w:bookmarkEnd w:id="34"/>
          <w:hyperlink w:history="true" w:anchor="bookmark34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3"/>
              </w:rPr>
              <w:t>（三）成立班级奖学金评比工作小组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10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5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601"/>
            <w:spacing w:before="15" w:line="219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5" w:id="35"/>
          <w:bookmarkEnd w:id="35"/>
          <w:hyperlink w:history="true" w:anchor="bookmark35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5"/>
              </w:rPr>
              <w:t>（四）学生申请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4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601"/>
            <w:spacing w:before="14" w:line="219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6" w:id="36"/>
          <w:bookmarkEnd w:id="36"/>
          <w:hyperlink w:history="true" w:anchor="bookmark36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5"/>
              </w:rPr>
              <w:t>（五）班级审核材料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9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4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760"/>
            <w:spacing w:before="16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7" w:id="37"/>
          <w:bookmarkEnd w:id="37"/>
          <w:hyperlink w:history="true" w:anchor="bookmark37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3"/>
              </w:rPr>
              <w:t>1.班级审核材料及公示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98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745"/>
            <w:spacing w:before="14" w:line="220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8" w:id="38"/>
          <w:bookmarkEnd w:id="38"/>
          <w:hyperlink w:history="true" w:anchor="bookmark38"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2"/>
              </w:rPr>
              <w:t>2.班级上交材料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10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</w:rPr>
              <w:tab/>
            </w:r>
            <w:r>
              <w:rPr>
                <w:rFonts w:ascii="FangSong" w:hAnsi="FangSong" w:eastAsia="FangSong" w:cs="FangSong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601"/>
            <w:spacing w:before="14" w:line="219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39" w:id="39"/>
          <w:bookmarkEnd w:id="39"/>
          <w:hyperlink w:history="true" w:anchor="bookmark39"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4"/>
              </w:rPr>
              <w:t>（七）确定奖学金获奖名单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96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5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13</w:t>
            </w:r>
          </w:hyperlink>
        </w:p>
        <w:p>
          <w:pPr>
            <w:ind w:left="22"/>
            <w:spacing w:before="16" w:line="222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40" w:id="40"/>
          <w:bookmarkEnd w:id="40"/>
          <w:hyperlink w:history="true" w:anchor="bookmark40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"/>
              </w:rPr>
              <w:t>七、纪律要求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14</w:t>
            </w:r>
          </w:hyperlink>
        </w:p>
        <w:p>
          <w:pPr>
            <w:pStyle w:val="BodyText"/>
            <w:ind w:left="599"/>
            <w:spacing w:before="11" w:line="219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41" w:id="41"/>
          <w:bookmarkEnd w:id="41"/>
          <w:hyperlink w:history="true" w:anchor="bookmark41">
            <w:r>
              <w:rPr>
                <w:sz w:val="24"/>
                <w:szCs w:val="24"/>
                <w:b/>
                <w:bCs/>
                <w:color w:val="333333"/>
                <w:spacing w:val="-3"/>
              </w:rPr>
              <w:t>1.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3"/>
              </w:rPr>
              <w:t>奖学金申请者的纪律要求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10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6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14</w:t>
            </w:r>
          </w:hyperlink>
        </w:p>
        <w:p>
          <w:pPr>
            <w:pStyle w:val="BodyText"/>
            <w:ind w:left="586"/>
            <w:spacing w:before="15" w:line="219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42" w:id="42"/>
          <w:bookmarkEnd w:id="42"/>
          <w:hyperlink w:history="true" w:anchor="bookmark42">
            <w:r>
              <w:rPr>
                <w:sz w:val="24"/>
                <w:szCs w:val="24"/>
                <w:b/>
                <w:bCs/>
                <w:color w:val="333333"/>
                <w:spacing w:val="-2"/>
              </w:rPr>
              <w:t>2.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color w:val="333333"/>
                <w:spacing w:val="-2"/>
              </w:rPr>
              <w:t>学院和班级评比工作小组成员的纪律要求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9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</w:rPr>
              <w:tab/>
            </w:r>
            <w:r>
              <w:rPr>
                <w:rFonts w:ascii="SimSun" w:hAnsi="SimSun" w:eastAsia="SimSun" w:cs="SimSun"/>
                <w:sz w:val="24"/>
                <w:szCs w:val="24"/>
                <w:color w:val="333333"/>
                <w:spacing w:val="-7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14</w:t>
            </w:r>
          </w:hyperlink>
        </w:p>
        <w:p>
          <w:pPr>
            <w:ind w:left="23"/>
            <w:spacing w:before="15" w:line="221" w:lineRule="auto"/>
            <w:tabs>
              <w:tab w:val="right" w:leader="dot" w:pos="8320"/>
            </w:tabs>
            <w:rPr>
              <w:rFonts w:ascii="SimHei" w:hAnsi="SimHei" w:eastAsia="SimHei" w:cs="SimHei"/>
              <w:sz w:val="24"/>
              <w:szCs w:val="24"/>
            </w:rPr>
          </w:pPr>
          <w:bookmarkStart w:name="bookmark43" w:id="43"/>
          <w:bookmarkEnd w:id="43"/>
          <w:hyperlink w:history="true" w:anchor="bookmark43"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2"/>
              </w:rPr>
              <w:t>八、其他说明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0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7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color w:val="333333"/>
                <w:spacing w:val="-11"/>
              </w:rPr>
              <w:t>14</w:t>
            </w:r>
          </w:hyperlink>
        </w:p>
      </w:sdtContent>
    </w:sdt>
    <w:p>
      <w:pPr>
        <w:spacing w:line="221" w:lineRule="auto"/>
        <w:sectPr>
          <w:pgSz w:w="11906" w:h="16839"/>
          <w:pgMar w:top="1426" w:right="1785" w:bottom="0" w:left="1785" w:header="0" w:footer="0" w:gutter="0"/>
        </w:sectPr>
        <w:rPr>
          <w:rFonts w:ascii="SimHei" w:hAnsi="SimHei" w:eastAsia="SimHei" w:cs="SimHei"/>
          <w:sz w:val="24"/>
          <w:szCs w:val="24"/>
        </w:rPr>
      </w:pPr>
    </w:p>
    <w:p>
      <w:pPr>
        <w:ind w:left="1294"/>
        <w:spacing w:before="361" w:line="223" w:lineRule="auto"/>
        <w:outlineLvl w:val="0"/>
        <w:rPr>
          <w:rFonts w:ascii="SimSun" w:hAnsi="SimSun" w:eastAsia="SimSun" w:cs="SimSun"/>
          <w:sz w:val="47"/>
          <w:szCs w:val="47"/>
        </w:rPr>
      </w:pPr>
      <w:bookmarkStart w:name="bookmark44" w:id="44"/>
      <w:bookmarkEnd w:id="44"/>
      <w:r>
        <w:rPr>
          <w:rFonts w:ascii="SimSun" w:hAnsi="SimSun" w:eastAsia="SimSun" w:cs="SimSun"/>
          <w:sz w:val="47"/>
          <w:szCs w:val="47"/>
          <w:b/>
          <w:bCs/>
          <w:spacing w:val="5"/>
        </w:rPr>
        <w:t>华南农业大学植物保护学院</w:t>
      </w:r>
    </w:p>
    <w:p>
      <w:pPr>
        <w:ind w:left="1775"/>
        <w:spacing w:before="335" w:line="223" w:lineRule="auto"/>
        <w:outlineLvl w:val="0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4"/>
        </w:rPr>
        <w:t>研究生奖学金评选办法</w:t>
      </w:r>
    </w:p>
    <w:p>
      <w:pPr>
        <w:pStyle w:val="BodyText"/>
        <w:spacing w:line="328" w:lineRule="auto"/>
        <w:rPr/>
      </w:pPr>
      <w:r/>
    </w:p>
    <w:p>
      <w:pPr>
        <w:pStyle w:val="BodyText"/>
        <w:spacing w:line="329" w:lineRule="auto"/>
        <w:rPr/>
      </w:pPr>
      <w:r/>
    </w:p>
    <w:p>
      <w:pPr>
        <w:ind w:left="29" w:right="733" w:firstLine="481"/>
        <w:spacing w:before="78" w:line="26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在全面实行研究生教育收费制度的背景下，为吸引优秀生源，鼓励在</w:t>
      </w:r>
      <w:r>
        <w:rPr>
          <w:rFonts w:ascii="FangSong" w:hAnsi="FangSong" w:eastAsia="FangSong" w:cs="FangSong"/>
          <w:sz w:val="24"/>
          <w:szCs w:val="24"/>
          <w:color w:val="333333"/>
          <w:spacing w:val="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校研究生勤奋学习、潜心科研、勇于创新、积极进取，根据《华南农业大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学研究生国家奖助学金实施办法》（华农党发〔2021〕35</w:t>
      </w:r>
      <w:r>
        <w:rPr>
          <w:rFonts w:ascii="FangSong" w:hAnsi="FangSong" w:eastAsia="FangSong" w:cs="FangSong"/>
          <w:sz w:val="24"/>
          <w:szCs w:val="24"/>
          <w:color w:val="333333"/>
          <w:spacing w:val="-3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号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结合植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物保护学院实际，特制定本办法。</w:t>
      </w:r>
    </w:p>
    <w:p>
      <w:pPr>
        <w:pStyle w:val="BodyText"/>
        <w:spacing w:line="271" w:lineRule="auto"/>
        <w:rPr/>
      </w:pPr>
      <w:r/>
    </w:p>
    <w:p>
      <w:pPr>
        <w:ind w:left="27"/>
        <w:spacing w:before="78" w:line="222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2" w:id="45"/>
      <w:bookmarkEnd w:id="45"/>
      <w:r>
        <w:rPr>
          <w:rFonts w:ascii="SimHei" w:hAnsi="SimHei" w:eastAsia="SimHei" w:cs="SimHei"/>
          <w:sz w:val="24"/>
          <w:szCs w:val="24"/>
          <w:color w:val="333333"/>
          <w:spacing w:val="-3"/>
        </w:rPr>
        <w:t>一、评选对象</w:t>
      </w:r>
    </w:p>
    <w:p>
      <w:pPr>
        <w:ind w:left="29" w:right="657" w:firstLine="479"/>
        <w:spacing w:before="72" w:line="271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植物保护学院已注册的正常学制内的全日制研究生（外国留学生、港</w:t>
      </w:r>
      <w:r>
        <w:rPr>
          <w:rFonts w:ascii="FangSong" w:hAnsi="FangSong" w:eastAsia="FangSong" w:cs="FangSong"/>
          <w:sz w:val="24"/>
          <w:szCs w:val="24"/>
          <w:color w:val="333333"/>
          <w:spacing w:val="1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澳台学生除外）均有资格申请学业奖学金。已注册的</w:t>
      </w:r>
      <w:r>
        <w:rPr>
          <w:rFonts w:ascii="FangSong" w:hAnsi="FangSong" w:eastAsia="FangSong" w:cs="FangSong"/>
          <w:sz w:val="24"/>
          <w:szCs w:val="24"/>
          <w:color w:val="333333"/>
          <w:spacing w:val="-9"/>
        </w:rPr>
        <w:t>非定向学术型研究生、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非定向全日制专业学位研究生均有资格申请国家奖学金。超出学制期限基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本修业年限的研究生（即延期毕业的研究生</w:t>
      </w:r>
      <w:r>
        <w:rPr>
          <w:rFonts w:ascii="FangSong" w:hAnsi="FangSong" w:eastAsia="FangSong" w:cs="FangSong"/>
          <w:sz w:val="24"/>
          <w:szCs w:val="24"/>
          <w:color w:val="333333"/>
          <w:spacing w:val="-22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原则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上不再具备学业奖学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金和国家奖学金参评资格。</w:t>
      </w:r>
    </w:p>
    <w:p>
      <w:pPr>
        <w:pStyle w:val="BodyText"/>
        <w:spacing w:line="317" w:lineRule="auto"/>
        <w:rPr/>
      </w:pPr>
      <w:r/>
    </w:p>
    <w:p>
      <w:pPr>
        <w:ind w:left="27"/>
        <w:spacing w:before="79" w:line="222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3" w:id="46"/>
      <w:bookmarkEnd w:id="46"/>
      <w:r>
        <w:rPr>
          <w:rFonts w:ascii="SimHei" w:hAnsi="SimHei" w:eastAsia="SimHei" w:cs="SimHei"/>
          <w:sz w:val="24"/>
          <w:szCs w:val="24"/>
          <w:color w:val="333333"/>
          <w:spacing w:val="-3"/>
        </w:rPr>
        <w:t>二、评选时间</w:t>
      </w:r>
    </w:p>
    <w:p>
      <w:pPr>
        <w:ind w:left="518"/>
        <w:spacing w:before="72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每学年评审一次，安排在每年</w:t>
      </w:r>
      <w:r>
        <w:rPr>
          <w:rFonts w:ascii="FangSong" w:hAnsi="FangSong" w:eastAsia="FangSong" w:cs="FangSong"/>
          <w:sz w:val="24"/>
          <w:szCs w:val="24"/>
          <w:color w:val="333333"/>
          <w:spacing w:val="-4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9</w:t>
      </w:r>
      <w:r>
        <w:rPr>
          <w:rFonts w:ascii="FangSong" w:hAnsi="FangSong" w:eastAsia="FangSong" w:cs="FangSong"/>
          <w:sz w:val="24"/>
          <w:szCs w:val="24"/>
          <w:color w:val="333333"/>
          <w:spacing w:val="-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月份。</w:t>
      </w:r>
    </w:p>
    <w:p>
      <w:pPr>
        <w:pStyle w:val="BodyText"/>
        <w:spacing w:line="354" w:lineRule="auto"/>
        <w:rPr/>
      </w:pPr>
      <w:r/>
    </w:p>
    <w:p>
      <w:pPr>
        <w:ind w:left="28"/>
        <w:spacing w:before="79" w:line="221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4" w:id="47"/>
      <w:bookmarkEnd w:id="47"/>
      <w:r>
        <w:rPr>
          <w:rFonts w:ascii="SimHei" w:hAnsi="SimHei" w:eastAsia="SimHei" w:cs="SimHei"/>
          <w:sz w:val="24"/>
          <w:szCs w:val="24"/>
          <w:color w:val="333333"/>
          <w:spacing w:val="-2"/>
        </w:rPr>
        <w:t>三、奖学金标准与比例</w:t>
      </w:r>
    </w:p>
    <w:p>
      <w:pPr>
        <w:ind w:left="514"/>
        <w:spacing w:before="73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5" w:id="48"/>
      <w:bookmarkEnd w:id="48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5"/>
        </w:rPr>
        <w:t>（一）学业奖学金</w:t>
      </w:r>
    </w:p>
    <w:p>
      <w:pPr>
        <w:ind w:left="520"/>
        <w:spacing w:before="71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6" w:id="49"/>
      <w:bookmarkEnd w:id="49"/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1.学业奖学金分为博士研究生学业奖学金和硕士研究生学业奖学金。</w:t>
      </w:r>
    </w:p>
    <w:p>
      <w:pPr>
        <w:ind w:left="29" w:right="683" w:firstLine="8"/>
        <w:spacing w:before="70" w:line="271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非定向研究生享受荣誉和奖励，定向研究生仅获荣誉。学业奖学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金等级、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比例与奖励标准，以学校当年公布为准。在学校下达指标的基础上，非定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向研究生、定向研究生分开计算，博士生、硕士生分开计算，各年级分开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计算。其中研究生老生，同一个年级专硕研究生和学硕研究生统一计算；</w:t>
      </w:r>
      <w:r>
        <w:rPr>
          <w:rFonts w:ascii="FangSong" w:hAnsi="FangSong" w:eastAsia="FangSong" w:cs="FangSong"/>
          <w:sz w:val="24"/>
          <w:szCs w:val="24"/>
          <w:color w:val="333333"/>
          <w:spacing w:val="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研究生新生按录取专业进行计算。</w:t>
      </w:r>
    </w:p>
    <w:p>
      <w:pPr>
        <w:ind w:left="505"/>
        <w:spacing w:before="40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7" w:id="50"/>
      <w:bookmarkEnd w:id="50"/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2.指标分配原则</w:t>
      </w:r>
    </w:p>
    <w:p>
      <w:pPr>
        <w:ind w:left="514"/>
        <w:spacing w:before="72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8" w:id="51"/>
      <w:bookmarkEnd w:id="51"/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（1）研究生新生</w:t>
      </w:r>
    </w:p>
    <w:p>
      <w:pPr>
        <w:ind w:left="30" w:right="694" w:firstLine="477"/>
        <w:spacing w:before="72" w:line="26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硕士新生学业奖学金以本专业录取的研究生总人数为基数，按比例分</w:t>
      </w:r>
      <w:r>
        <w:rPr>
          <w:rFonts w:ascii="FangSong" w:hAnsi="FangSong" w:eastAsia="FangSong" w:cs="FangSong"/>
          <w:sz w:val="24"/>
          <w:szCs w:val="24"/>
          <w:color w:val="333333"/>
          <w:spacing w:val="1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配，原则上以四舍五入的方法分别计算出各专业各等级奖学金的指标。最</w:t>
      </w:r>
      <w:r>
        <w:rPr>
          <w:rFonts w:ascii="FangSong" w:hAnsi="FangSong" w:eastAsia="FangSong" w:cs="FangSong"/>
          <w:sz w:val="24"/>
          <w:szCs w:val="24"/>
          <w:color w:val="333333"/>
          <w:spacing w:val="1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终指标分配情况，以学院公布的为准。硕士研究生新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生中的推荐免试生，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自动列为一等奖学金获得者，获奖指标单列。</w:t>
      </w:r>
    </w:p>
    <w:p>
      <w:pPr>
        <w:ind w:left="511"/>
        <w:spacing w:before="40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博士新生学业奖学金由全院统一排名进行评奖，指标不按学科分配。</w:t>
      </w:r>
    </w:p>
    <w:p>
      <w:pPr>
        <w:ind w:left="514"/>
        <w:spacing w:before="72" w:line="224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9" w:id="52"/>
      <w:bookmarkEnd w:id="52"/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（2）研究生老生</w:t>
      </w:r>
    </w:p>
    <w:p>
      <w:pPr>
        <w:spacing w:line="224" w:lineRule="auto"/>
        <w:sectPr>
          <w:footerReference w:type="default" r:id="rId1"/>
          <w:pgSz w:w="11906" w:h="16839"/>
          <w:pgMar w:top="1431" w:right="1785" w:bottom="1362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33" w:right="827" w:firstLine="521"/>
        <w:spacing w:before="93" w:line="250" w:lineRule="auto"/>
        <w:rPr>
          <w:rFonts w:ascii="FangSong" w:hAnsi="FangSong" w:eastAsia="FangSong" w:cs="FangSong"/>
          <w:sz w:val="24"/>
          <w:szCs w:val="24"/>
        </w:rPr>
      </w:pPr>
      <w:bookmarkStart w:name="bookmark45" w:id="53"/>
      <w:bookmarkEnd w:id="53"/>
      <w:r>
        <w:rPr>
          <w:rFonts w:ascii="FangSong" w:hAnsi="FangSong" w:eastAsia="FangSong" w:cs="FangSong"/>
          <w:sz w:val="24"/>
          <w:szCs w:val="24"/>
          <w:color w:val="333333"/>
        </w:rPr>
        <w:t>①优先推荐指标：各年级推荐部分符合优先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条件的研究生优先申请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>一等奖，获奖名额一般不超过一等奖20%的指标。</w:t>
      </w:r>
    </w:p>
    <w:p>
      <w:pPr>
        <w:ind w:left="32" w:right="650" w:firstLine="521"/>
        <w:spacing w:before="74" w:line="26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②常规指标：对各年级优先推荐指标外的一等奖指标、以及二等奖、</w:t>
      </w:r>
      <w:r>
        <w:rPr>
          <w:rFonts w:ascii="FangSong" w:hAnsi="FangSong" w:eastAsia="FangSong" w:cs="FangSong"/>
          <w:sz w:val="24"/>
          <w:szCs w:val="24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三等奖的全部获奖指标，以“未获得优先奖励的二级学科（系）的研究生</w:t>
      </w:r>
      <w:r>
        <w:rPr>
          <w:rFonts w:ascii="FangSong" w:hAnsi="FangSong" w:eastAsia="FangSong" w:cs="FangSong"/>
          <w:sz w:val="24"/>
          <w:szCs w:val="24"/>
          <w:spacing w:val="1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总人数</w:t>
      </w:r>
      <w:r>
        <w:rPr>
          <w:rFonts w:ascii="FangSong" w:hAnsi="FangSong" w:eastAsia="FangSong" w:cs="FangSong"/>
          <w:sz w:val="24"/>
          <w:szCs w:val="24"/>
          <w:spacing w:val="-7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”为基数，按比例分配，原则上以四舍五入的方法分别计算出各二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级学科（系）各年级各等级奖学金的指标。若出现某二级学科（系）某年</w:t>
      </w:r>
      <w:r>
        <w:rPr>
          <w:rFonts w:ascii="FangSong" w:hAnsi="FangSong" w:eastAsia="FangSong" w:cs="FangSong"/>
          <w:sz w:val="24"/>
          <w:szCs w:val="24"/>
          <w:spacing w:val="1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2"/>
        </w:rPr>
        <w:t>级研究生人数低于</w:t>
      </w:r>
      <w:r>
        <w:rPr>
          <w:rFonts w:ascii="FangSong" w:hAnsi="FangSong" w:eastAsia="FangSong" w:cs="FangSong"/>
          <w:sz w:val="24"/>
          <w:szCs w:val="24"/>
          <w:spacing w:val="-4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2"/>
        </w:rPr>
        <w:t>5</w:t>
      </w:r>
      <w:r>
        <w:rPr>
          <w:rFonts w:ascii="FangSong" w:hAnsi="FangSong" w:eastAsia="FangSong" w:cs="FangSong"/>
          <w:sz w:val="24"/>
          <w:szCs w:val="24"/>
          <w:spacing w:val="-4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2"/>
        </w:rPr>
        <w:t>个，则纳入专业相近的其他</w:t>
      </w:r>
      <w:r>
        <w:rPr>
          <w:rFonts w:ascii="FangSong" w:hAnsi="FangSong" w:eastAsia="FangSong" w:cs="FangSong"/>
          <w:sz w:val="24"/>
          <w:szCs w:val="24"/>
          <w:spacing w:val="-13"/>
        </w:rPr>
        <w:t>二级学科（系）一起分配</w:t>
      </w:r>
      <w:r>
        <w:rPr>
          <w:rFonts w:ascii="FangSong" w:hAnsi="FangSong" w:eastAsia="FangSong" w:cs="FangSong"/>
          <w:sz w:val="24"/>
          <w:szCs w:val="24"/>
          <w:spacing w:val="-1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3"/>
        </w:rPr>
        <w:t>。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最终指标分配情况，以学院公布的为准。</w:t>
      </w:r>
    </w:p>
    <w:p>
      <w:pPr>
        <w:ind w:left="514"/>
        <w:spacing w:before="74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10" w:id="54"/>
      <w:bookmarkEnd w:id="54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5"/>
        </w:rPr>
        <w:t>（二）国家奖学金</w:t>
      </w:r>
    </w:p>
    <w:p>
      <w:pPr>
        <w:ind w:left="520"/>
        <w:spacing w:before="71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11" w:id="55"/>
      <w:bookmarkEnd w:id="55"/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1.国家奖学金分为博士研究生国家奖学金和硕士研究生国家奖学金。</w:t>
      </w:r>
    </w:p>
    <w:p>
      <w:pPr>
        <w:ind w:left="57"/>
        <w:spacing w:before="71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国家奖学金的获奖指标与奖励标准，以学校当年公布为准。</w:t>
      </w:r>
    </w:p>
    <w:p>
      <w:pPr>
        <w:ind w:left="505"/>
        <w:spacing w:before="74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12" w:id="56"/>
      <w:bookmarkEnd w:id="56"/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2.指标分配原则</w:t>
      </w:r>
    </w:p>
    <w:p>
      <w:pPr>
        <w:ind w:left="514"/>
        <w:spacing w:before="71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13" w:id="57"/>
      <w:bookmarkEnd w:id="57"/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（1）研究生新生</w:t>
      </w:r>
    </w:p>
    <w:p>
      <w:pPr>
        <w:ind w:left="509"/>
        <w:spacing w:before="70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新生国家奖学金由学校统一评审。</w:t>
      </w:r>
    </w:p>
    <w:p>
      <w:pPr>
        <w:ind w:left="514"/>
        <w:spacing w:before="72" w:line="224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14" w:id="58"/>
      <w:bookmarkEnd w:id="58"/>
      <w:r>
        <w:rPr>
          <w:rFonts w:ascii="FangSong" w:hAnsi="FangSong" w:eastAsia="FangSong" w:cs="FangSong"/>
          <w:sz w:val="24"/>
          <w:szCs w:val="24"/>
          <w:spacing w:val="-3"/>
        </w:rPr>
        <w:t>（2）研究生老生</w:t>
      </w:r>
    </w:p>
    <w:p>
      <w:pPr>
        <w:ind w:left="511"/>
        <w:spacing w:before="6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博士生、硕士生分开计算，但各年级不分开计算。</w:t>
      </w:r>
    </w:p>
    <w:p>
      <w:pPr>
        <w:ind w:left="29" w:right="733" w:firstLine="538"/>
        <w:spacing w:before="74" w:line="25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</w:rPr>
        <w:t>①优先推荐指标：推荐部分符合优先条件的</w:t>
      </w:r>
      <w:r>
        <w:rPr>
          <w:rFonts w:ascii="FangSong" w:hAnsi="FangSong" w:eastAsia="FangSong" w:cs="FangSong"/>
          <w:sz w:val="24"/>
          <w:szCs w:val="24"/>
          <w:spacing w:val="-1"/>
        </w:rPr>
        <w:t>博士生和硕士生优先申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请奖学金，获奖名额原则上不超过研究生获奖指标的20%。若学校分配名</w:t>
      </w:r>
      <w:r>
        <w:rPr>
          <w:rFonts w:ascii="FangSong" w:hAnsi="FangSong" w:eastAsia="FangSong" w:cs="FangSong"/>
          <w:sz w:val="24"/>
          <w:szCs w:val="24"/>
          <w:spacing w:val="1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"/>
        </w:rPr>
        <w:t>额少，未能达到优先推荐指标，则全部纳入常规指标计算。</w:t>
      </w:r>
    </w:p>
    <w:p>
      <w:pPr>
        <w:ind w:left="31" w:right="733" w:firstLine="534"/>
        <w:spacing w:before="71" w:line="25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</w:rPr>
        <w:t>②常规指标：对优先推荐指标外的研究生获奖</w:t>
      </w:r>
      <w:r>
        <w:rPr>
          <w:rFonts w:ascii="FangSong" w:hAnsi="FangSong" w:eastAsia="FangSong" w:cs="FangSong"/>
          <w:sz w:val="24"/>
          <w:szCs w:val="24"/>
          <w:spacing w:val="-1"/>
        </w:rPr>
        <w:t>指标，以“未获得优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先奖励的研究生</w:t>
      </w:r>
      <w:r>
        <w:rPr>
          <w:rFonts w:ascii="FangSong" w:hAnsi="FangSong" w:eastAsia="FangSong" w:cs="FangSong"/>
          <w:sz w:val="24"/>
          <w:szCs w:val="24"/>
          <w:spacing w:val="-7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”进行综合排名，总分排名靠前的同学获得国奖，且原则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上同一个二级学科的研究生获奖指标不超过</w:t>
      </w:r>
      <w:r>
        <w:rPr>
          <w:rFonts w:ascii="FangSong" w:hAnsi="FangSong" w:eastAsia="FangSong" w:cs="FangSong"/>
          <w:sz w:val="24"/>
          <w:szCs w:val="24"/>
          <w:spacing w:val="-3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1</w:t>
      </w:r>
      <w:r>
        <w:rPr>
          <w:rFonts w:ascii="FangSong" w:hAnsi="FangSong" w:eastAsia="FangSong" w:cs="FangSong"/>
          <w:sz w:val="24"/>
          <w:szCs w:val="24"/>
          <w:spacing w:val="-4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个。</w:t>
      </w:r>
    </w:p>
    <w:p>
      <w:pPr>
        <w:ind w:left="44" w:right="733" w:firstLine="465"/>
        <w:spacing w:before="72" w:line="266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若各二级学科均获得</w:t>
      </w:r>
      <w:r>
        <w:rPr>
          <w:rFonts w:ascii="FangSong" w:hAnsi="FangSong" w:eastAsia="FangSong" w:cs="FangSong"/>
          <w:sz w:val="24"/>
          <w:szCs w:val="24"/>
          <w:spacing w:val="-3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1</w:t>
      </w:r>
      <w:r>
        <w:rPr>
          <w:rFonts w:ascii="FangSong" w:hAnsi="FangSong" w:eastAsia="FangSong" w:cs="FangSong"/>
          <w:sz w:val="24"/>
          <w:szCs w:val="24"/>
          <w:spacing w:val="-4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个国奖指标后，剩余的国奖指标由未</w:t>
      </w:r>
      <w:r>
        <w:rPr>
          <w:rFonts w:ascii="FangSong" w:hAnsi="FangSong" w:eastAsia="FangSong" w:cs="FangSong"/>
          <w:sz w:val="24"/>
          <w:szCs w:val="24"/>
          <w:spacing w:val="-6"/>
        </w:rPr>
        <w:t>获得国奖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的各二级学科研究生再次综合排名（排名不分学科），由排名靠前者获得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国奖指标。最终指标分配情况，以学院公布的为准。</w:t>
      </w:r>
    </w:p>
    <w:p>
      <w:pPr>
        <w:pStyle w:val="BodyText"/>
        <w:spacing w:line="320" w:lineRule="auto"/>
        <w:rPr/>
      </w:pPr>
      <w:r/>
    </w:p>
    <w:p>
      <w:pPr>
        <w:ind w:left="37"/>
        <w:spacing w:before="79" w:line="222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15" w:id="59"/>
      <w:bookmarkEnd w:id="59"/>
      <w:r>
        <w:rPr>
          <w:rFonts w:ascii="SimHei" w:hAnsi="SimHei" w:eastAsia="SimHei" w:cs="SimHei"/>
          <w:sz w:val="24"/>
          <w:szCs w:val="24"/>
          <w:color w:val="333333"/>
          <w:spacing w:val="-3"/>
        </w:rPr>
        <w:t>四、评选基本条件</w:t>
      </w:r>
    </w:p>
    <w:p>
      <w:pPr>
        <w:ind w:left="507" w:right="2915" w:firstLine="6"/>
        <w:spacing w:before="71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1.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热爱社会主义祖国，拥护中国共产党的领导；</w:t>
      </w:r>
      <w:r>
        <w:rPr>
          <w:rFonts w:ascii="FangSong" w:hAnsi="FangSong" w:eastAsia="FangSong" w:cs="FangSong"/>
          <w:sz w:val="24"/>
          <w:szCs w:val="24"/>
          <w:color w:val="333333"/>
          <w:spacing w:val="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2.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遵守宪法和法律，遵守学校规章制度；</w:t>
      </w:r>
    </w:p>
    <w:p>
      <w:pPr>
        <w:ind w:left="506"/>
        <w:spacing w:before="40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3.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诚实守信，品学兼优；</w:t>
      </w:r>
    </w:p>
    <w:p>
      <w:pPr>
        <w:ind w:left="505" w:right="4355" w:hanging="6"/>
        <w:spacing w:before="74" w:line="26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4.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积极参与科学研究和社会实践；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5.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有下列情况之一者不能申请：</w:t>
      </w:r>
    </w:p>
    <w:p>
      <w:pPr>
        <w:ind w:left="514"/>
        <w:spacing w:before="42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）在学校规定时间内未完成注册手续；</w:t>
      </w:r>
    </w:p>
    <w:p>
      <w:pPr>
        <w:ind w:left="514"/>
        <w:spacing w:before="75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）新生经查实在研究生入学考试中隐瞒事实或有虚假内容；</w:t>
      </w:r>
    </w:p>
    <w:p>
      <w:pPr>
        <w:ind w:left="514"/>
        <w:spacing w:before="74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3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）评审年度受到学校通报批评以上（含通报批评）处理或处分；</w:t>
      </w:r>
    </w:p>
    <w:p>
      <w:pPr>
        <w:ind w:left="514"/>
        <w:spacing w:before="72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4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）老生参评学年度课程考试有一门以上（含一门）不及格；</w:t>
      </w:r>
    </w:p>
    <w:p>
      <w:pPr>
        <w:ind w:left="514"/>
        <w:spacing w:before="72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5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）休学、保留学籍及经学校批准复学不满半年；</w:t>
      </w:r>
    </w:p>
    <w:p>
      <w:pPr>
        <w:ind w:left="514"/>
        <w:spacing w:before="74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6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  <w:spacing w:val="-6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申请评奖的研究成果存在明显争议者；</w:t>
      </w:r>
    </w:p>
    <w:p>
      <w:pPr>
        <w:spacing w:line="219" w:lineRule="auto"/>
        <w:sectPr>
          <w:footerReference w:type="default" r:id="rId2"/>
          <w:pgSz w:w="11906" w:h="16839"/>
          <w:pgMar w:top="1431" w:right="1785" w:bottom="1362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514"/>
        <w:spacing w:before="93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7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）因各种原因退学。</w:t>
      </w:r>
    </w:p>
    <w:p>
      <w:pPr>
        <w:pStyle w:val="BodyText"/>
        <w:spacing w:line="352" w:lineRule="auto"/>
        <w:rPr/>
      </w:pPr>
      <w:r/>
    </w:p>
    <w:p>
      <w:pPr>
        <w:ind w:left="29"/>
        <w:spacing w:before="78" w:line="222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16" w:id="60"/>
      <w:bookmarkEnd w:id="60"/>
      <w:r>
        <w:rPr>
          <w:rFonts w:ascii="SimHei" w:hAnsi="SimHei" w:eastAsia="SimHei" w:cs="SimHei"/>
          <w:sz w:val="24"/>
          <w:szCs w:val="24"/>
          <w:color w:val="333333"/>
          <w:spacing w:val="-2"/>
        </w:rPr>
        <w:t>五、评选项目及评分标准</w:t>
      </w:r>
    </w:p>
    <w:p>
      <w:pPr>
        <w:ind w:left="514"/>
        <w:spacing w:before="72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46" w:id="61"/>
      <w:bookmarkEnd w:id="61"/>
      <w:bookmarkStart w:name="bookmark17" w:id="62"/>
      <w:bookmarkEnd w:id="62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4"/>
        </w:rPr>
        <w:t>（一）新生学业奖学金评选</w:t>
      </w:r>
    </w:p>
    <w:p>
      <w:pPr>
        <w:ind w:left="514"/>
        <w:spacing w:before="71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18" w:id="63"/>
      <w:bookmarkEnd w:id="63"/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1.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硕士生新生</w:t>
      </w:r>
    </w:p>
    <w:p>
      <w:pPr>
        <w:ind w:left="514"/>
        <w:spacing w:before="71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19" w:id="64"/>
      <w:bookmarkEnd w:id="64"/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）优先条件</w:t>
      </w:r>
    </w:p>
    <w:p>
      <w:pPr>
        <w:ind w:left="519" w:right="938" w:hanging="7"/>
        <w:spacing w:before="71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具备以下条件之一者优先申报一等奖学金，按优先权先后分别为：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第一优先条件：推荐免试生；</w:t>
      </w:r>
    </w:p>
    <w:p>
      <w:pPr>
        <w:ind w:left="520"/>
        <w:spacing w:before="3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第二优先条件：第一志愿报考我校者；</w:t>
      </w:r>
    </w:p>
    <w:p>
      <w:pPr>
        <w:ind w:left="520"/>
        <w:spacing w:before="72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第三优先条件：本科毕业于“双一流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”院校；</w:t>
      </w:r>
    </w:p>
    <w:p>
      <w:pPr>
        <w:ind w:left="36" w:right="733" w:firstLine="483"/>
        <w:spacing w:before="73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第四优先条件：公开发表学术论文、授权发明专利或在省级以上学科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竞赛中取得良好成绩；</w:t>
      </w:r>
    </w:p>
    <w:p>
      <w:pPr>
        <w:ind w:left="30" w:right="733" w:firstLine="489"/>
        <w:spacing w:before="38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第五优先条件：公开招考生入学考试初试成绩总分在本学院本专业排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名前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；</w:t>
      </w:r>
    </w:p>
    <w:p>
      <w:pPr>
        <w:ind w:left="520" w:right="1417"/>
        <w:spacing w:before="39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第六优先条件：本科阶段曾经获得国家级或校级一等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奖学金；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第七优先条件：本科阶段各科平均分成绩达</w:t>
      </w:r>
      <w:r>
        <w:rPr>
          <w:rFonts w:ascii="FangSong" w:hAnsi="FangSong" w:eastAsia="FangSong" w:cs="FangSong"/>
          <w:sz w:val="24"/>
          <w:szCs w:val="24"/>
          <w:color w:val="333333"/>
          <w:spacing w:val="-51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8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5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分以上。</w:t>
      </w:r>
    </w:p>
    <w:p>
      <w:pPr>
        <w:ind w:left="29" w:right="634" w:firstLine="486"/>
        <w:spacing w:before="32" w:line="275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注：一等奖优先条件中所提到的学术论文，指的是</w:t>
      </w:r>
      <w:r>
        <w:rPr>
          <w:rFonts w:ascii="FangSong" w:hAnsi="FangSong" w:eastAsia="FangSong" w:cs="FangSong"/>
          <w:sz w:val="24"/>
          <w:szCs w:val="24"/>
          <w:color w:val="333333"/>
          <w:spacing w:val="-56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T1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T2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A</w:t>
      </w:r>
      <w:r>
        <w:rPr>
          <w:rFonts w:ascii="Calibri" w:hAnsi="Calibri" w:eastAsia="Calibri" w:cs="Calibri"/>
          <w:sz w:val="24"/>
          <w:szCs w:val="24"/>
          <w:color w:val="333333"/>
          <w:spacing w:val="-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B</w:t>
      </w:r>
      <w:r>
        <w:rPr>
          <w:rFonts w:ascii="Calibri" w:hAnsi="Calibri" w:eastAsia="Calibri" w:cs="Calibri"/>
          <w:sz w:val="24"/>
          <w:szCs w:val="24"/>
          <w:color w:val="333333"/>
          <w:spacing w:val="-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C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 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类论文。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SCI</w:t>
      </w:r>
      <w:r>
        <w:rPr>
          <w:rFonts w:ascii="Calibri" w:hAnsi="Calibri" w:eastAsia="Calibri" w:cs="Calibri"/>
          <w:sz w:val="24"/>
          <w:szCs w:val="24"/>
          <w:color w:val="333333"/>
          <w:spacing w:val="-2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EI</w:t>
      </w:r>
      <w:r>
        <w:rPr>
          <w:rFonts w:ascii="Calibri" w:hAnsi="Calibri" w:eastAsia="Calibri" w:cs="Calibri"/>
          <w:sz w:val="24"/>
          <w:szCs w:val="24"/>
          <w:color w:val="333333"/>
          <w:spacing w:val="3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收录的正式刊物论文，以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图书馆出具的最新收录证明为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准。中文核心期刊以北京大学出版社《中文核心期刊要目总览》（最新版）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为准。授权品种权可等同发明专利的条件，发明专利（品种权）原则上以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国家公布时间为准，鉴于批准周期长的原因，发明专利（品种权）可以参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考收到实审通知时间；实用新型、外观设计专利以专利授权公布时间为准。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学科竞赛，一般指由政府部门、机关单位、党团组织、国家一级行业学会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或协会举办的植保、生物等相关的竞赛。国家级奖学金，指的是“</w:t>
      </w:r>
      <w:r>
        <w:rPr>
          <w:rFonts w:ascii="FangSong" w:hAnsi="FangSong" w:eastAsia="FangSong" w:cs="FangSong"/>
          <w:sz w:val="24"/>
          <w:szCs w:val="24"/>
          <w:color w:val="333333"/>
          <w:spacing w:val="-7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国家奖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学金</w:t>
      </w:r>
      <w:r>
        <w:rPr>
          <w:rFonts w:ascii="FangSong" w:hAnsi="FangSong" w:eastAsia="FangSong" w:cs="FangSong"/>
          <w:sz w:val="24"/>
          <w:szCs w:val="24"/>
          <w:color w:val="333333"/>
          <w:spacing w:val="-7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”，“</w:t>
      </w:r>
      <w:r>
        <w:rPr>
          <w:rFonts w:ascii="FangSong" w:hAnsi="FangSong" w:eastAsia="FangSong" w:cs="FangSong"/>
          <w:sz w:val="24"/>
          <w:szCs w:val="24"/>
          <w:color w:val="333333"/>
          <w:spacing w:val="-7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国家励志奖学金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”不纳入优先条件范围。发表论文，仅承认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1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 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作（若论文出现共同第一作者的情况，仅排名前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有效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专利、学科竞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赛等研究成果需排名前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3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（专利排名不含老师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应为本科期间至参评当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年度</w:t>
      </w:r>
      <w:r>
        <w:rPr>
          <w:rFonts w:ascii="FangSong" w:hAnsi="FangSong" w:eastAsia="FangSong" w:cs="FangSong"/>
          <w:sz w:val="24"/>
          <w:szCs w:val="24"/>
          <w:color w:val="333333"/>
          <w:spacing w:val="-51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8</w:t>
      </w:r>
      <w:r>
        <w:rPr>
          <w:rFonts w:ascii="Calibri" w:hAnsi="Calibri" w:eastAsia="Calibri" w:cs="Calibri"/>
          <w:sz w:val="24"/>
          <w:szCs w:val="24"/>
          <w:color w:val="333333"/>
          <w:spacing w:val="3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月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31 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日（含）前所获得的研究成果。第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七优先条件提到的“平均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</w:t>
      </w:r>
      <w:r>
        <w:rPr>
          <w:rFonts w:ascii="FangSong" w:hAnsi="FangSong" w:eastAsia="FangSong" w:cs="FangSong"/>
          <w:sz w:val="24"/>
          <w:szCs w:val="24"/>
          <w:color w:val="333333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”，为算术平均分成绩。</w:t>
      </w:r>
    </w:p>
    <w:p>
      <w:pPr>
        <w:ind w:left="514"/>
        <w:spacing w:before="40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20" w:id="65"/>
      <w:bookmarkEnd w:id="65"/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）评选办法</w:t>
      </w:r>
    </w:p>
    <w:p>
      <w:pPr>
        <w:ind w:left="555"/>
        <w:spacing w:before="71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①组织“符合一等奖优先条件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”的硕士生进行评选</w:t>
      </w:r>
    </w:p>
    <w:p>
      <w:pPr>
        <w:ind w:left="30" w:right="733" w:firstLine="479"/>
        <w:spacing w:before="73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若“符合一等奖优先条件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”硕士生人数不超过一等奖获奖指标，则这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部分硕士生全部定为一等奖。</w:t>
      </w:r>
    </w:p>
    <w:p>
      <w:pPr>
        <w:ind w:left="27" w:right="733" w:firstLine="482"/>
        <w:spacing w:before="38" w:line="271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若“符合一等奖优先条件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”硕士生人数已超出一等奖获奖指标，则先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对这部分硕士生进行排序，再择优确定一等奖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获得者，具体程序为：第一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步，按照每位硕士生具备的最高优先权条件进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行排序。具备第一优先权的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排最前，不具备第一优先权但具备第二优先权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的紧随其后，以此类推。若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具备的最高优先条件是相同的，则观察是否具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备次一级优先权，具备者名</w:t>
      </w:r>
    </w:p>
    <w:p>
      <w:pPr>
        <w:spacing w:line="271" w:lineRule="auto"/>
        <w:sectPr>
          <w:footerReference w:type="default" r:id="rId3"/>
          <w:pgSz w:w="11906" w:h="16839"/>
          <w:pgMar w:top="1431" w:right="1785" w:bottom="1362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29" w:right="733"/>
        <w:spacing w:before="91" w:line="272" w:lineRule="auto"/>
        <w:jc w:val="both"/>
        <w:rPr>
          <w:rFonts w:ascii="FangSong" w:hAnsi="FangSong" w:eastAsia="FangSong" w:cs="FangSong"/>
          <w:sz w:val="24"/>
          <w:szCs w:val="24"/>
        </w:rPr>
      </w:pPr>
      <w:bookmarkStart w:name="bookmark47" w:id="66"/>
      <w:bookmarkEnd w:id="66"/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次靠前；若次一级优先权情况依然相同，则继续再比较下一级优先权，以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此类推。若出现各项优先权条件是完全相同的硕士生，则按照“入学考试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综合成绩专业排名分</w:t>
      </w:r>
      <w:r>
        <w:rPr>
          <w:rFonts w:ascii="FangSong" w:hAnsi="FangSong" w:eastAsia="FangSong" w:cs="FangSong"/>
          <w:sz w:val="24"/>
          <w:szCs w:val="24"/>
          <w:color w:val="333333"/>
          <w:spacing w:val="-7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”排序。第二步，按照以上原则进行排序后，根据排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名遴选出一等奖学金名单。第三步，满足优先条件但没有评上一等奖的硕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士生，一般可直接评为二等奖（若这部分人数也超出二等奖指标，则按排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序择优确定二等奖获得者）。</w:t>
      </w:r>
    </w:p>
    <w:p>
      <w:pPr>
        <w:ind w:left="554"/>
        <w:spacing w:before="40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②组织“未符合一等奖优先条件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”的硕士生进行评选</w:t>
      </w:r>
    </w:p>
    <w:p>
      <w:pPr>
        <w:ind w:left="30" w:right="733" w:firstLine="480"/>
        <w:spacing w:before="71" w:line="26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上述第①个程序结束后，再组织“未符合一等奖优先条件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”的硕士生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评出余下的各级奖学金，按照“入学考试综合成绩专业排名分</w:t>
      </w:r>
      <w:r>
        <w:rPr>
          <w:rFonts w:ascii="FangSong" w:hAnsi="FangSong" w:eastAsia="FangSong" w:cs="FangSong"/>
          <w:sz w:val="24"/>
          <w:szCs w:val="24"/>
          <w:color w:val="333333"/>
          <w:spacing w:val="-7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”排序，从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高到低进行评选。</w:t>
      </w:r>
    </w:p>
    <w:p>
      <w:pPr>
        <w:ind w:left="29" w:right="733" w:firstLine="482"/>
        <w:spacing w:before="40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在①和②评选过程，若按照以上规则仍然无法确定排名的，则由学院</w:t>
      </w:r>
      <w:r>
        <w:rPr>
          <w:rFonts w:ascii="FangSong" w:hAnsi="FangSong" w:eastAsia="FangSong" w:cs="FangSong"/>
          <w:sz w:val="24"/>
          <w:szCs w:val="24"/>
          <w:color w:val="333333"/>
          <w:spacing w:val="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研究生奖学金评审委员会讨论决定最终排序。</w:t>
      </w:r>
    </w:p>
    <w:p>
      <w:pPr>
        <w:ind w:left="41" w:right="734" w:firstLine="473"/>
        <w:spacing w:before="37" w:line="26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（注：“入学考试综合成绩专业排名分</w:t>
      </w:r>
      <w:r>
        <w:rPr>
          <w:rFonts w:ascii="FangSong" w:hAnsi="FangSong" w:eastAsia="FangSong" w:cs="FangSong"/>
          <w:sz w:val="24"/>
          <w:szCs w:val="24"/>
          <w:color w:val="333333"/>
          <w:spacing w:val="-8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=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入学考试综合成绩（初试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+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复试）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本专业入学考试综合成绩的最高分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*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100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</w:t>
      </w:r>
    </w:p>
    <w:p>
      <w:pPr>
        <w:ind w:left="507"/>
        <w:spacing w:before="43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21" w:id="67"/>
      <w:bookmarkEnd w:id="67"/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2.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博士生新生</w:t>
      </w:r>
    </w:p>
    <w:p>
      <w:pPr>
        <w:ind w:left="514"/>
        <w:spacing w:before="71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22" w:id="68"/>
      <w:bookmarkEnd w:id="68"/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）优先条件</w:t>
      </w:r>
    </w:p>
    <w:p>
      <w:pPr>
        <w:ind w:left="512"/>
        <w:spacing w:before="72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具备以下条件之一者优先申报一等奖，按优先权先后分别为：</w:t>
      </w:r>
    </w:p>
    <w:p>
      <w:pPr>
        <w:ind w:left="15" w:right="657" w:firstLine="504"/>
        <w:spacing w:before="71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第一优先权：科研能力强，在正式期刊公开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发表与本专业相关的</w:t>
      </w:r>
      <w:r>
        <w:rPr>
          <w:rFonts w:ascii="FangSong" w:hAnsi="FangSong" w:eastAsia="FangSong" w:cs="FangSong"/>
          <w:sz w:val="24"/>
          <w:szCs w:val="24"/>
          <w:color w:val="333333"/>
          <w:spacing w:val="-5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T1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T2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类学术论文。</w:t>
      </w:r>
    </w:p>
    <w:p>
      <w:pPr>
        <w:ind w:left="520"/>
        <w:spacing w:before="3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第二优先权：获得校级以上（含校级）优秀硕士学位论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文。</w:t>
      </w:r>
    </w:p>
    <w:p>
      <w:pPr>
        <w:ind w:left="60" w:right="733" w:firstLine="459"/>
        <w:spacing w:before="72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第三优先权：有创新能力，获得国家发明专利或在省级以上学科竞赛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2"/>
        </w:rPr>
        <w:t>中获奖。</w:t>
      </w:r>
    </w:p>
    <w:p>
      <w:pPr>
        <w:ind w:left="31" w:right="733" w:firstLine="488"/>
        <w:spacing w:before="40" w:line="26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第四优先权：硕博连读考生和申请审核制考生在硕士阶段学习成绩优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异，获得校级以上（含校级）奖学金。（鉴于目前都属于硕博连读考生或</w:t>
      </w:r>
      <w:r>
        <w:rPr>
          <w:rFonts w:ascii="FangSong" w:hAnsi="FangSong" w:eastAsia="FangSong" w:cs="FangSong"/>
          <w:sz w:val="24"/>
          <w:szCs w:val="24"/>
          <w:color w:val="333333"/>
          <w:spacing w:val="1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申请审核制考生，且学业奖学金已实现全覆盖，所以只有获得过校级一等</w:t>
      </w:r>
      <w:r>
        <w:rPr>
          <w:rFonts w:ascii="FangSong" w:hAnsi="FangSong" w:eastAsia="FangSong" w:cs="FangSong"/>
          <w:sz w:val="24"/>
          <w:szCs w:val="24"/>
          <w:color w:val="333333"/>
          <w:spacing w:val="1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学业奖学金、省级或国家级奖学金者才符合该条件）</w:t>
      </w:r>
    </w:p>
    <w:p>
      <w:pPr>
        <w:ind w:left="29" w:right="548" w:firstLine="487"/>
        <w:spacing w:before="40" w:line="27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注：一等奖优先条件中所提到的收录的</w:t>
      </w:r>
      <w:r>
        <w:rPr>
          <w:rFonts w:ascii="FangSong" w:hAnsi="FangSong" w:eastAsia="FangSong" w:cs="FangSong"/>
          <w:sz w:val="24"/>
          <w:szCs w:val="24"/>
          <w:color w:val="333333"/>
          <w:spacing w:val="-4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T1</w:t>
      </w:r>
      <w:r>
        <w:rPr>
          <w:rFonts w:ascii="Calibri" w:hAnsi="Calibri" w:eastAsia="Calibri" w:cs="Calibri"/>
          <w:sz w:val="24"/>
          <w:szCs w:val="24"/>
          <w:color w:val="333333"/>
          <w:spacing w:val="-2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T2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类正式刊物论文，以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学校相关政策和图书馆提供的最新证明为准。授权品种权可等同发明专利</w:t>
      </w:r>
      <w:r>
        <w:rPr>
          <w:rFonts w:ascii="FangSong" w:hAnsi="FangSong" w:eastAsia="FangSong" w:cs="FangSong"/>
          <w:sz w:val="24"/>
          <w:szCs w:val="24"/>
          <w:color w:val="333333"/>
          <w:spacing w:val="9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的条件，发明专利（品种权）原则上以国家公布时间为准，鉴于批准周期</w:t>
      </w:r>
      <w:r>
        <w:rPr>
          <w:rFonts w:ascii="FangSong" w:hAnsi="FangSong" w:eastAsia="FangSong" w:cs="FangSong"/>
          <w:sz w:val="24"/>
          <w:szCs w:val="24"/>
          <w:color w:val="333333"/>
          <w:spacing w:val="9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</w:rPr>
        <w:t>长的原因，发明专利（品种权）可以参考收到实审通知时间；实用新型、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</w:rPr>
        <w:t>外观设计专利以专利授权公布时间为准。学科竞赛，一般指由政府部门、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机关单位、党团组织、国家一级行业学会或协会举办的植保、生物等相关</w:t>
      </w:r>
      <w:r>
        <w:rPr>
          <w:rFonts w:ascii="FangSong" w:hAnsi="FangSong" w:eastAsia="FangSong" w:cs="FangSong"/>
          <w:sz w:val="24"/>
          <w:szCs w:val="24"/>
          <w:color w:val="333333"/>
          <w:spacing w:val="9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的竞赛。以上发表论文、专利、学科竞赛等，参评者须排名第一方为有效</w:t>
      </w:r>
      <w:r>
        <w:rPr>
          <w:rFonts w:ascii="FangSong" w:hAnsi="FangSong" w:eastAsia="FangSong" w:cs="FangSong"/>
          <w:sz w:val="24"/>
          <w:szCs w:val="24"/>
          <w:color w:val="333333"/>
          <w:spacing w:val="9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（若论文出现共同第一作者的情况，仅排名第一有效；专利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排名不含老师</w:t>
      </w:r>
      <w:r>
        <w:rPr>
          <w:rFonts w:ascii="FangSong" w:hAnsi="FangSong" w:eastAsia="FangSong" w:cs="FangSong"/>
          <w:sz w:val="24"/>
          <w:szCs w:val="24"/>
          <w:color w:val="333333"/>
          <w:spacing w:val="-58"/>
          <w:w w:val="87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研究成果应为硕士期间至参评当年度</w:t>
      </w:r>
      <w:r>
        <w:rPr>
          <w:rFonts w:ascii="FangSong" w:hAnsi="FangSong" w:eastAsia="FangSong" w:cs="FangSong"/>
          <w:sz w:val="24"/>
          <w:szCs w:val="24"/>
          <w:color w:val="333333"/>
          <w:spacing w:val="-5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8</w:t>
      </w:r>
      <w:r>
        <w:rPr>
          <w:rFonts w:ascii="Calibri" w:hAnsi="Calibri" w:eastAsia="Calibri" w:cs="Calibri"/>
          <w:sz w:val="24"/>
          <w:szCs w:val="24"/>
          <w:color w:val="333333"/>
          <w:spacing w:val="31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月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31 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日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（含）前所获得的研究成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果。</w:t>
      </w:r>
    </w:p>
    <w:p>
      <w:pPr>
        <w:ind w:left="514"/>
        <w:spacing w:before="38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23" w:id="69"/>
      <w:bookmarkEnd w:id="69"/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）评选办法</w:t>
      </w:r>
    </w:p>
    <w:p>
      <w:pPr>
        <w:ind w:left="555"/>
        <w:spacing w:before="71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①组织“符合一等奖优先条件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”的博士生进行评选</w:t>
      </w:r>
    </w:p>
    <w:p>
      <w:pPr>
        <w:spacing w:line="221" w:lineRule="auto"/>
        <w:sectPr>
          <w:footerReference w:type="default" r:id="rId4"/>
          <w:pgSz w:w="11906" w:h="16839"/>
          <w:pgMar w:top="1431" w:right="1785" w:bottom="1362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30" w:right="733" w:firstLine="479"/>
        <w:spacing w:before="91" w:line="270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若“符合一等奖优先条件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”博士生人数不超过一等奖获奖指标，则这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部分博士生全部定为一等奖。若“符合一等奖优先条件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7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”博士生人数已超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出一等奖获奖指标，则先对这部分博士生进行排序，再择优确定一等奖获</w:t>
      </w:r>
      <w:r>
        <w:rPr>
          <w:rFonts w:ascii="FangSong" w:hAnsi="FangSong" w:eastAsia="FangSong" w:cs="FangSong"/>
          <w:sz w:val="24"/>
          <w:szCs w:val="24"/>
          <w:color w:val="333333"/>
          <w:spacing w:val="1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得者，具体程序为：</w:t>
      </w:r>
    </w:p>
    <w:p>
      <w:pPr>
        <w:ind w:left="27" w:right="694" w:firstLine="492"/>
        <w:spacing w:before="36" w:line="27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第一步，按照每位博士生具备的最高优先权条件进行排序。具备第一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优先权的排最前，不具备第一优先权但具备第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二优先权的紧随其后，以此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类推。若具备的最高优先条件是相同的，则观察是否具备次一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级优先权，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具备者名次靠前；若次一级优先权情况依然相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同，则继续再比较下一级优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先权，以此类推。若出现各项优先权条件是完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全相同的博士生，如需进行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排序，则参考本办法中的科学研究加分规则（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即“五、评选项目及评分标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准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”→“（</w:t>
      </w:r>
      <w:r>
        <w:rPr>
          <w:rFonts w:ascii="FangSong" w:hAnsi="FangSong" w:eastAsia="FangSong" w:cs="FangSong"/>
          <w:sz w:val="24"/>
          <w:szCs w:val="24"/>
          <w:color w:val="333333"/>
          <w:spacing w:val="-6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二）老生学业奖学金和国家奖学金评选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→“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2.</w:t>
      </w:r>
      <w:r>
        <w:rPr>
          <w:rFonts w:ascii="Calibri" w:hAnsi="Calibri" w:eastAsia="Calibri" w:cs="Calibri"/>
          <w:sz w:val="24"/>
          <w:szCs w:val="24"/>
          <w:color w:val="333333"/>
          <w:spacing w:val="-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常规获奖指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标的评选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”</w:t>
      </w:r>
      <w:r>
        <w:rPr>
          <w:rFonts w:ascii="FangSong" w:hAnsi="FangSong" w:eastAsia="FangSong" w:cs="FangSong"/>
          <w:sz w:val="24"/>
          <w:szCs w:val="24"/>
          <w:color w:val="333333"/>
          <w:spacing w:val="-8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→“（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）具体评选项目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”</w:t>
      </w:r>
      <w:r>
        <w:rPr>
          <w:rFonts w:ascii="FangSong" w:hAnsi="FangSong" w:eastAsia="FangSong" w:cs="FangSong"/>
          <w:sz w:val="24"/>
          <w:szCs w:val="24"/>
          <w:color w:val="333333"/>
          <w:spacing w:val="-7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→②科学研究（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B</w:t>
      </w:r>
      <w:r>
        <w:rPr>
          <w:rFonts w:ascii="FangSong" w:hAnsi="FangSong" w:eastAsia="FangSong" w:cs="FangSong"/>
          <w:sz w:val="24"/>
          <w:szCs w:val="24"/>
          <w:color w:val="333333"/>
          <w:spacing w:val="11"/>
        </w:rPr>
        <w:t>）），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按照科研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成果分值决定排名（此处的科学研究不包括参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加学术讲座的分值）。第二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步，按照以上原则进行排序后，根据排名遴选出一等奖学金名单。</w:t>
      </w:r>
    </w:p>
    <w:p>
      <w:pPr>
        <w:ind w:left="33" w:right="733" w:firstLine="486"/>
        <w:spacing w:before="41" w:line="26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第三步，满足优先条件但没有评上一等奖的博士生，一般可直接评为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二等奖（若这部分人数也超出二等奖指标，则按排序择优确定二等奖获得</w:t>
      </w:r>
      <w:r>
        <w:rPr>
          <w:rFonts w:ascii="FangSong" w:hAnsi="FangSong" w:eastAsia="FangSong" w:cs="FangSong"/>
          <w:sz w:val="24"/>
          <w:szCs w:val="24"/>
          <w:color w:val="333333"/>
          <w:spacing w:val="1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者）。</w:t>
      </w:r>
    </w:p>
    <w:p>
      <w:pPr>
        <w:ind w:left="554"/>
        <w:spacing w:before="37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②组织“未符合一等奖优先条件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”的博士生进行评选</w:t>
      </w:r>
    </w:p>
    <w:p>
      <w:pPr>
        <w:ind w:left="30" w:right="677" w:firstLine="480"/>
        <w:spacing w:before="72" w:line="26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上述结束后，再组织“未符合一等奖优先条件</w:t>
      </w:r>
      <w:r>
        <w:rPr>
          <w:rFonts w:ascii="FangSong" w:hAnsi="FangSong" w:eastAsia="FangSong" w:cs="FangSong"/>
          <w:sz w:val="24"/>
          <w:szCs w:val="24"/>
          <w:color w:val="333333"/>
          <w:spacing w:val="-8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”的博士生评出余下的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各级奖学金。根据博士生提交的申请材料，计算科研成果分值（参考上述</w:t>
      </w:r>
      <w:r>
        <w:rPr>
          <w:rFonts w:ascii="FangSong" w:hAnsi="FangSong" w:eastAsia="FangSong" w:cs="FangSong"/>
          <w:sz w:val="24"/>
          <w:szCs w:val="24"/>
          <w:color w:val="333333"/>
          <w:spacing w:val="1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第①个程序的计算方法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按照科研成果分值决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定排名和确定获奖等次。</w:t>
      </w:r>
    </w:p>
    <w:p>
      <w:pPr>
        <w:ind w:left="39" w:right="733" w:firstLine="472"/>
        <w:spacing w:before="39" w:line="26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在①和②评选过程，若按照以上规则仍然无法确定排名的，则根据新</w:t>
      </w:r>
      <w:r>
        <w:rPr>
          <w:rFonts w:ascii="FangSong" w:hAnsi="FangSong" w:eastAsia="FangSong" w:cs="FangSong"/>
          <w:sz w:val="24"/>
          <w:szCs w:val="24"/>
          <w:color w:val="333333"/>
          <w:spacing w:val="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生入学考试成绩进行排序；若条件仍然相同，则由学院研究生奖学金评审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委员会讨论决定最终排序。</w:t>
      </w:r>
    </w:p>
    <w:p>
      <w:pPr>
        <w:ind w:left="514"/>
        <w:spacing w:before="39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24" w:id="70"/>
      <w:bookmarkEnd w:id="70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3"/>
        </w:rPr>
        <w:t>（二）老生学业奖学金和国家奖学金评选</w:t>
      </w:r>
    </w:p>
    <w:p>
      <w:pPr>
        <w:ind w:left="514"/>
        <w:spacing w:before="71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25" w:id="71"/>
      <w:bookmarkEnd w:id="71"/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1.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优先获奖的评选</w:t>
      </w:r>
    </w:p>
    <w:p>
      <w:pPr>
        <w:ind w:left="514"/>
        <w:spacing w:before="72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26" w:id="72"/>
      <w:bookmarkEnd w:id="72"/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）学业一等奖学金</w:t>
      </w:r>
    </w:p>
    <w:p>
      <w:pPr>
        <w:ind w:left="21" w:right="733" w:firstLine="512"/>
        <w:spacing w:before="70" w:line="274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以第一作者发表</w:t>
      </w:r>
      <w:r>
        <w:rPr>
          <w:rFonts w:ascii="FangSong" w:hAnsi="FangSong" w:eastAsia="FangSong" w:cs="FangSong"/>
          <w:sz w:val="24"/>
          <w:szCs w:val="24"/>
          <w:color w:val="333333"/>
          <w:spacing w:val="-5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T1</w:t>
      </w:r>
      <w:r>
        <w:rPr>
          <w:rFonts w:ascii="Calibri" w:hAnsi="Calibri" w:eastAsia="Calibri" w:cs="Calibri"/>
          <w:sz w:val="24"/>
          <w:szCs w:val="24"/>
          <w:color w:val="333333"/>
          <w:spacing w:val="-2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T2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或</w:t>
      </w:r>
      <w:r>
        <w:rPr>
          <w:rFonts w:ascii="FangSong" w:hAnsi="FangSong" w:eastAsia="FangSong" w:cs="FangSong"/>
          <w:sz w:val="24"/>
          <w:szCs w:val="24"/>
          <w:color w:val="333333"/>
          <w:spacing w:val="-56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A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类学术论文的硕士生，可优先申请学业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奖学金一等奖。以第一作者发表</w:t>
      </w:r>
      <w:r>
        <w:rPr>
          <w:rFonts w:ascii="FangSong" w:hAnsi="FangSong" w:eastAsia="FangSong" w:cs="FangSong"/>
          <w:sz w:val="24"/>
          <w:szCs w:val="24"/>
          <w:color w:val="333333"/>
          <w:spacing w:val="-55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T1</w:t>
      </w:r>
      <w:r>
        <w:rPr>
          <w:rFonts w:ascii="Calibri" w:hAnsi="Calibri" w:eastAsia="Calibri" w:cs="Calibri"/>
          <w:sz w:val="24"/>
          <w:szCs w:val="24"/>
          <w:color w:val="333333"/>
          <w:spacing w:val="-2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T2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类学术论文的博士生，可优先申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请学业奖学金一等奖。以上所提到的第一作者，若出现共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同第一作者的情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况，仅排名第一有效。若申请者不超过预定获奖指标，则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全部定为学业一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等奖学金获得者；若申请者超过预定获奖指标，则参考本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办法中的论文加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分规则（即“五、评选项目及评分标准</w:t>
      </w:r>
      <w:r>
        <w:rPr>
          <w:rFonts w:ascii="FangSong" w:hAnsi="FangSong" w:eastAsia="FangSong" w:cs="FangSong"/>
          <w:sz w:val="24"/>
          <w:szCs w:val="24"/>
          <w:color w:val="333333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”→“（二）老生学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业奖学金和国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家奖学金评选</w:t>
      </w:r>
      <w:r>
        <w:rPr>
          <w:rFonts w:ascii="FangSong" w:hAnsi="FangSong" w:eastAsia="FangSong" w:cs="FangSong"/>
          <w:sz w:val="24"/>
          <w:szCs w:val="24"/>
          <w:color w:val="333333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”</w:t>
      </w:r>
      <w:r>
        <w:rPr>
          <w:rFonts w:ascii="FangSong" w:hAnsi="FangSong" w:eastAsia="FangSong" w:cs="FangSong"/>
          <w:sz w:val="24"/>
          <w:szCs w:val="24"/>
          <w:color w:val="333333"/>
          <w:spacing w:val="-6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→“</w:t>
      </w:r>
      <w:r>
        <w:rPr>
          <w:rFonts w:ascii="Calibri" w:hAnsi="Calibri" w:eastAsia="Calibri" w:cs="Calibri"/>
          <w:sz w:val="24"/>
          <w:szCs w:val="24"/>
          <w:color w:val="333333"/>
          <w:spacing w:val="-10"/>
        </w:rPr>
        <w:t>2.</w:t>
      </w:r>
      <w:r>
        <w:rPr>
          <w:rFonts w:ascii="Calibri" w:hAnsi="Calibri" w:eastAsia="Calibri" w:cs="Calibri"/>
          <w:sz w:val="24"/>
          <w:szCs w:val="24"/>
          <w:color w:val="333333"/>
          <w:spacing w:val="-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常规获奖指标的评选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”→“（</w:t>
      </w:r>
      <w:r>
        <w:rPr>
          <w:rFonts w:ascii="Calibri" w:hAnsi="Calibri" w:eastAsia="Calibri" w:cs="Calibri"/>
          <w:sz w:val="24"/>
          <w:szCs w:val="24"/>
          <w:color w:val="333333"/>
          <w:spacing w:val="-11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11"/>
        </w:rPr>
        <w:t>）具体评选项目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1"/>
        </w:rPr>
        <w:t>”→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</w:rPr>
        <w:t>②科学研究（</w:t>
      </w:r>
      <w:r>
        <w:rPr>
          <w:rFonts w:ascii="Calibri" w:hAnsi="Calibri" w:eastAsia="Calibri" w:cs="Calibri"/>
          <w:sz w:val="24"/>
          <w:szCs w:val="24"/>
          <w:color w:val="333333"/>
        </w:rPr>
        <w:t>B</w:t>
      </w:r>
      <w:r>
        <w:rPr>
          <w:rFonts w:ascii="FangSong" w:hAnsi="FangSong" w:eastAsia="FangSong" w:cs="FangSong"/>
          <w:sz w:val="24"/>
          <w:szCs w:val="24"/>
          <w:color w:val="333333"/>
        </w:rPr>
        <w:t>）→【发表论文】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</w:rPr>
        <w:t>只计算第一作者的分值，按分数从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高到低确定一等奖学金名单，分数较低未能优先确定为一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等奖的，则纳入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常规获奖指标的评选。</w:t>
      </w:r>
    </w:p>
    <w:p>
      <w:pPr>
        <w:ind w:left="514"/>
        <w:spacing w:before="39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27" w:id="73"/>
      <w:bookmarkEnd w:id="73"/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）国家奖学金</w:t>
      </w:r>
    </w:p>
    <w:p>
      <w:pPr>
        <w:spacing w:line="222" w:lineRule="auto"/>
        <w:sectPr>
          <w:footerReference w:type="default" r:id="rId5"/>
          <w:pgSz w:w="11906" w:h="16839"/>
          <w:pgMar w:top="1431" w:right="1785" w:bottom="1360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29" w:right="668" w:firstLine="505"/>
        <w:spacing w:before="95" w:line="273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以第一作者在</w:t>
      </w:r>
      <w:r>
        <w:rPr>
          <w:rFonts w:ascii="FangSong" w:hAnsi="FangSong" w:eastAsia="FangSong" w:cs="FangSong"/>
          <w:sz w:val="24"/>
          <w:szCs w:val="24"/>
          <w:color w:val="333333"/>
          <w:spacing w:val="-5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T1</w:t>
      </w:r>
      <w:r>
        <w:rPr>
          <w:rFonts w:ascii="Calibri" w:hAnsi="Calibri" w:eastAsia="Calibri" w:cs="Calibri"/>
          <w:sz w:val="24"/>
          <w:szCs w:val="24"/>
          <w:color w:val="333333"/>
          <w:spacing w:val="-2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T2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类发表学术论文的硕士生和博士生，可优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先申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请国家奖学金。若出现共同第一作者的情况，仅排名第一有效。若申请者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不超过预定获奖指标，则全部定为国家奖学金获得者；若申请者超过预定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获奖指标，则参考本办法中的论文加分规则（即“五、评选项目及评分标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准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”→“（</w:t>
      </w:r>
      <w:r>
        <w:rPr>
          <w:rFonts w:ascii="FangSong" w:hAnsi="FangSong" w:eastAsia="FangSong" w:cs="FangSong"/>
          <w:sz w:val="24"/>
          <w:szCs w:val="24"/>
          <w:color w:val="333333"/>
          <w:spacing w:val="-6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二）老生学业奖学金和国家奖学金评选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”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→“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2.</w:t>
      </w:r>
      <w:r>
        <w:rPr>
          <w:rFonts w:ascii="Calibri" w:hAnsi="Calibri" w:eastAsia="Calibri" w:cs="Calibri"/>
          <w:sz w:val="24"/>
          <w:szCs w:val="24"/>
          <w:color w:val="333333"/>
          <w:spacing w:val="-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常规获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奖指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13"/>
        </w:rPr>
        <w:t>标的评选</w:t>
      </w:r>
      <w:r>
        <w:rPr>
          <w:rFonts w:ascii="FangSong" w:hAnsi="FangSong" w:eastAsia="FangSong" w:cs="FangSong"/>
          <w:sz w:val="24"/>
          <w:szCs w:val="24"/>
          <w:color w:val="333333"/>
          <w:spacing w:val="-8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3"/>
        </w:rPr>
        <w:t>”→“（</w:t>
      </w:r>
      <w:r>
        <w:rPr>
          <w:rFonts w:ascii="Calibri" w:hAnsi="Calibri" w:eastAsia="Calibri" w:cs="Calibri"/>
          <w:sz w:val="24"/>
          <w:szCs w:val="24"/>
          <w:color w:val="333333"/>
          <w:spacing w:val="-13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13"/>
        </w:rPr>
        <w:t>）具体评选项目</w:t>
      </w:r>
      <w:r>
        <w:rPr>
          <w:rFonts w:ascii="FangSong" w:hAnsi="FangSong" w:eastAsia="FangSong" w:cs="FangSong"/>
          <w:sz w:val="24"/>
          <w:szCs w:val="24"/>
          <w:color w:val="333333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3"/>
        </w:rPr>
        <w:t>”→②科学研究（</w:t>
      </w:r>
      <w:r>
        <w:rPr>
          <w:rFonts w:ascii="Calibri" w:hAnsi="Calibri" w:eastAsia="Calibri" w:cs="Calibri"/>
          <w:sz w:val="24"/>
          <w:szCs w:val="24"/>
          <w:color w:val="333333"/>
          <w:spacing w:val="-13"/>
        </w:rPr>
        <w:t>B</w:t>
      </w:r>
      <w:r>
        <w:rPr>
          <w:rFonts w:ascii="FangSong" w:hAnsi="FangSong" w:eastAsia="FangSong" w:cs="FangSong"/>
          <w:sz w:val="24"/>
          <w:szCs w:val="24"/>
          <w:color w:val="333333"/>
          <w:spacing w:val="-13"/>
        </w:rPr>
        <w:t>）→【发表论文】</w:t>
      </w:r>
      <w:r>
        <w:rPr>
          <w:rFonts w:ascii="FangSong" w:hAnsi="FangSong" w:eastAsia="FangSong" w:cs="FangSong"/>
          <w:sz w:val="24"/>
          <w:szCs w:val="24"/>
          <w:color w:val="333333"/>
          <w:spacing w:val="-59"/>
          <w:w w:val="88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只计算第一作者的分值，按分数从高到低确定国家奖学金名单，分数较低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未能优先确定为国家奖学金获得者的，则纳入常规获奖指标的评选。</w:t>
      </w:r>
    </w:p>
    <w:p>
      <w:pPr>
        <w:ind w:left="507"/>
        <w:spacing w:before="39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28" w:id="74"/>
      <w:bookmarkEnd w:id="74"/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2.</w:t>
      </w:r>
      <w:r>
        <w:rPr>
          <w:rFonts w:ascii="Calibri" w:hAnsi="Calibri" w:eastAsia="Calibri" w:cs="Calibri"/>
          <w:sz w:val="24"/>
          <w:szCs w:val="24"/>
          <w:color w:val="333333"/>
          <w:spacing w:val="-2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常规获奖的评选</w:t>
      </w:r>
    </w:p>
    <w:p>
      <w:pPr>
        <w:ind w:left="514"/>
        <w:spacing w:before="71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29" w:id="75"/>
      <w:bookmarkEnd w:id="75"/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）评选办法</w:t>
      </w:r>
    </w:p>
    <w:p>
      <w:pPr>
        <w:ind w:left="32" w:right="733" w:firstLine="479"/>
        <w:spacing w:before="72" w:line="26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未能获得优先推荐获奖的全体研究生，都可参加常规获奖的评选，并</w:t>
      </w:r>
      <w:r>
        <w:rPr>
          <w:rFonts w:ascii="FangSong" w:hAnsi="FangSong" w:eastAsia="FangSong" w:cs="FangSong"/>
          <w:sz w:val="24"/>
          <w:szCs w:val="24"/>
          <w:color w:val="333333"/>
          <w:spacing w:val="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先进行综合测评，再评选学业奖学金和国家奖学金。硕士研究生综合测评</w:t>
      </w:r>
    </w:p>
    <w:p>
      <w:pPr>
        <w:ind w:left="25" w:right="733" w:firstLine="4"/>
        <w:spacing w:before="41" w:line="26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基准分的满分为</w:t>
      </w:r>
      <w:r>
        <w:rPr>
          <w:rFonts w:ascii="FangSong" w:hAnsi="FangSong" w:eastAsia="FangSong" w:cs="FangSong"/>
          <w:sz w:val="24"/>
          <w:szCs w:val="24"/>
          <w:color w:val="333333"/>
          <w:spacing w:val="-3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100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分，具体包括学习成绩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(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A)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占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30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分、科学研究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(B)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占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50</w:t>
      </w:r>
      <w:r>
        <w:rPr>
          <w:rFonts w:ascii="Calibri" w:hAnsi="Calibri" w:eastAsia="Calibri" w:cs="Calibri"/>
          <w:sz w:val="24"/>
          <w:szCs w:val="24"/>
          <w:color w:val="333333"/>
          <w:spacing w:val="2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分、思想道德与社会实践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(C)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占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20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分、扣分（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D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）四个方面。博士研究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生综合测评基准分的满分为</w:t>
      </w:r>
      <w:r>
        <w:rPr>
          <w:rFonts w:ascii="FangSong" w:hAnsi="FangSong" w:eastAsia="FangSong" w:cs="FangSong"/>
          <w:sz w:val="24"/>
          <w:szCs w:val="24"/>
          <w:color w:val="333333"/>
          <w:spacing w:val="-3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100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分，具体包括学习成绩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(A)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占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分、科学</w:t>
      </w:r>
    </w:p>
    <w:p>
      <w:pPr>
        <w:ind w:left="29"/>
        <w:spacing w:before="53" w:line="21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研究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(B)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占</w:t>
      </w:r>
      <w:r>
        <w:rPr>
          <w:rFonts w:ascii="FangSong" w:hAnsi="FangSong" w:eastAsia="FangSong" w:cs="FangSong"/>
          <w:sz w:val="24"/>
          <w:szCs w:val="24"/>
          <w:color w:val="333333"/>
          <w:spacing w:val="-4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70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分、思想道德与社会实践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(C)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占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20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分、扣分（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D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四个方面。</w:t>
      </w:r>
    </w:p>
    <w:p>
      <w:pPr>
        <w:ind w:left="29" w:right="671" w:firstLine="504"/>
        <w:spacing w:before="84" w:line="272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以上常规获奖指标评选的分数计算，均保留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4</w:t>
      </w:r>
      <w:r>
        <w:rPr>
          <w:rFonts w:ascii="Calibri" w:hAnsi="Calibri" w:eastAsia="Calibri" w:cs="Calibri"/>
          <w:sz w:val="24"/>
          <w:szCs w:val="24"/>
          <w:color w:val="333333"/>
          <w:spacing w:val="4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位小数（小数点后第</w:t>
      </w:r>
      <w:r>
        <w:rPr>
          <w:rFonts w:ascii="FangSong" w:hAnsi="FangSong" w:eastAsia="FangSong" w:cs="FangSong"/>
          <w:sz w:val="24"/>
          <w:szCs w:val="24"/>
          <w:color w:val="333333"/>
          <w:spacing w:val="-55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4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位做四舍五入处理）。在评选中进行名次排序时，若出现分值相同的且处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于两个不同等级奖学金分界线处的研究生，“科学研究</w:t>
      </w:r>
      <w:r>
        <w:rPr>
          <w:rFonts w:ascii="FangSong" w:hAnsi="FangSong" w:eastAsia="FangSong" w:cs="FangSong"/>
          <w:sz w:val="24"/>
          <w:szCs w:val="24"/>
          <w:color w:val="333333"/>
          <w:spacing w:val="-7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”分值高的排前面；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若“科学研究</w:t>
      </w:r>
      <w:r>
        <w:rPr>
          <w:rFonts w:ascii="FangSong" w:hAnsi="FangSong" w:eastAsia="FangSong" w:cs="FangSong"/>
          <w:sz w:val="24"/>
          <w:szCs w:val="24"/>
          <w:color w:val="333333"/>
          <w:spacing w:val="-7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”分也相同，“学习成绩</w:t>
      </w:r>
      <w:r>
        <w:rPr>
          <w:rFonts w:ascii="FangSong" w:hAnsi="FangSong" w:eastAsia="FangSong" w:cs="FangSong"/>
          <w:sz w:val="24"/>
          <w:szCs w:val="24"/>
          <w:color w:val="333333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”分值高的排前面；若学习成绩、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科学研究、思想道德与社会实践三个方面的分值都相同，则由学院研究生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奖学金评审委员会研究讨论决定最终排名。</w:t>
      </w:r>
    </w:p>
    <w:p>
      <w:pPr>
        <w:ind w:left="514"/>
        <w:spacing w:before="39" w:line="222" w:lineRule="auto"/>
        <w:outlineLvl w:val="2"/>
        <w:rPr>
          <w:rFonts w:ascii="FangSong" w:hAnsi="FangSong" w:eastAsia="FangSong" w:cs="FangSong"/>
          <w:sz w:val="24"/>
          <w:szCs w:val="24"/>
        </w:rPr>
      </w:pPr>
      <w:bookmarkStart w:name="bookmark30" w:id="76"/>
      <w:bookmarkEnd w:id="76"/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）具体评选项目</w:t>
      </w:r>
    </w:p>
    <w:p>
      <w:pPr>
        <w:ind w:left="555"/>
        <w:spacing w:before="70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①学习成绩（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A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</w:t>
      </w:r>
    </w:p>
    <w:p>
      <w:pPr>
        <w:ind w:left="32" w:right="933" w:firstLine="475"/>
        <w:spacing w:before="72" w:line="26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</w:rPr>
        <w:t>硕士研究生学习成绩满分为</w:t>
      </w:r>
      <w:r>
        <w:rPr>
          <w:rFonts w:ascii="Calibri" w:hAnsi="Calibri" w:eastAsia="Calibri" w:cs="Calibri"/>
          <w:sz w:val="24"/>
          <w:szCs w:val="24"/>
          <w:color w:val="333333"/>
        </w:rPr>
        <w:t>30</w:t>
      </w:r>
      <w:r>
        <w:rPr>
          <w:rFonts w:ascii="Calibri" w:hAnsi="Calibri" w:eastAsia="Calibri" w:cs="Calibri"/>
          <w:sz w:val="24"/>
          <w:szCs w:val="24"/>
          <w:color w:val="333333"/>
          <w:spacing w:val="29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</w:rPr>
        <w:t>分；博士研究生学习成绩满分为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</w:rPr>
        <w:t>10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分。</w:t>
      </w:r>
    </w:p>
    <w:p>
      <w:pPr>
        <w:ind w:left="29" w:right="760" w:firstLine="480"/>
        <w:spacing w:before="37" w:line="267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计算公式为：硕士研究生学习成绩得分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=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入学以来所有课程的算术平</w:t>
      </w:r>
      <w:r>
        <w:rPr>
          <w:rFonts w:ascii="FangSong" w:hAnsi="FangSong" w:eastAsia="FangSong" w:cs="FangSong"/>
          <w:sz w:val="24"/>
          <w:szCs w:val="24"/>
          <w:color w:val="333333"/>
          <w:spacing w:val="1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均分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* 30%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；博士研究生学习成绩得分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=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入学以来所有课程的算术平均分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*</w:t>
      </w:r>
      <w:r>
        <w:rPr>
          <w:rFonts w:ascii="Calibri" w:hAnsi="Calibri" w:eastAsia="Calibri" w:cs="Calibri"/>
          <w:sz w:val="24"/>
          <w:szCs w:val="24"/>
          <w:color w:val="333333"/>
          <w:spacing w:val="17"/>
          <w:w w:val="101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10%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；。</w:t>
      </w:r>
    </w:p>
    <w:p>
      <w:pPr>
        <w:ind w:left="554"/>
        <w:spacing w:before="3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②科学研究（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B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）</w:t>
      </w:r>
    </w:p>
    <w:p>
      <w:pPr>
        <w:spacing w:before="105"/>
        <w:rPr/>
      </w:pPr>
      <w:r/>
    </w:p>
    <w:tbl>
      <w:tblPr>
        <w:tblStyle w:val="TableNormal"/>
        <w:tblW w:w="3515" w:type="dxa"/>
        <w:tblInd w:w="240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45"/>
        <w:gridCol w:w="1082"/>
        <w:gridCol w:w="1088"/>
      </w:tblGrid>
      <w:tr>
        <w:trPr>
          <w:trHeight w:val="320" w:hRule="atLeast"/>
        </w:trPr>
        <w:tc>
          <w:tcPr>
            <w:tcW w:w="3515" w:type="dxa"/>
            <w:vAlign w:val="top"/>
            <w:gridSpan w:val="3"/>
          </w:tcPr>
          <w:p>
            <w:pPr>
              <w:pStyle w:val="TableText"/>
              <w:ind w:left="929"/>
              <w:spacing w:before="42" w:line="206" w:lineRule="auto"/>
              <w:rPr/>
            </w:pPr>
            <w:r>
              <w:rPr>
                <w:spacing w:val="-3"/>
              </w:rPr>
              <w:t>研究生科学研究</w:t>
            </w:r>
          </w:p>
        </w:tc>
      </w:tr>
      <w:tr>
        <w:trPr>
          <w:trHeight w:val="316" w:hRule="atLeast"/>
        </w:trPr>
        <w:tc>
          <w:tcPr>
            <w:tcW w:w="13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2" w:type="dxa"/>
            <w:vAlign w:val="top"/>
          </w:tcPr>
          <w:p>
            <w:pPr>
              <w:pStyle w:val="TableText"/>
              <w:ind w:left="313"/>
              <w:spacing w:before="38" w:line="206" w:lineRule="auto"/>
              <w:rPr/>
            </w:pPr>
            <w:r>
              <w:rPr>
                <w:spacing w:val="-8"/>
              </w:rPr>
              <w:t>硕士</w:t>
            </w:r>
          </w:p>
        </w:tc>
        <w:tc>
          <w:tcPr>
            <w:tcW w:w="1088" w:type="dxa"/>
            <w:vAlign w:val="top"/>
          </w:tcPr>
          <w:p>
            <w:pPr>
              <w:pStyle w:val="TableText"/>
              <w:ind w:left="317"/>
              <w:spacing w:before="38" w:line="206" w:lineRule="auto"/>
              <w:rPr/>
            </w:pPr>
            <w:r>
              <w:rPr>
                <w:spacing w:val="-9"/>
              </w:rPr>
              <w:t>博士</w:t>
            </w:r>
          </w:p>
        </w:tc>
      </w:tr>
      <w:tr>
        <w:trPr>
          <w:trHeight w:val="316" w:hRule="atLeast"/>
        </w:trPr>
        <w:tc>
          <w:tcPr>
            <w:tcW w:w="1345" w:type="dxa"/>
            <w:vAlign w:val="top"/>
          </w:tcPr>
          <w:p>
            <w:pPr>
              <w:pStyle w:val="TableText"/>
              <w:ind w:left="370"/>
              <w:spacing w:before="39" w:line="205" w:lineRule="auto"/>
              <w:rPr/>
            </w:pPr>
            <w:r>
              <w:rPr>
                <w:spacing w:val="-21"/>
              </w:rPr>
              <w:t>自评分</w:t>
            </w:r>
          </w:p>
        </w:tc>
        <w:tc>
          <w:tcPr>
            <w:tcW w:w="1082" w:type="dxa"/>
            <w:vAlign w:val="top"/>
          </w:tcPr>
          <w:p>
            <w:pPr>
              <w:pStyle w:val="TableText"/>
              <w:ind w:left="294"/>
              <w:spacing w:before="39" w:line="205" w:lineRule="auto"/>
              <w:rPr/>
            </w:pPr>
            <w:r>
              <w:rPr>
                <w:spacing w:val="-9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1088" w:type="dxa"/>
            <w:vAlign w:val="top"/>
          </w:tcPr>
          <w:p>
            <w:pPr>
              <w:pStyle w:val="TableText"/>
              <w:ind w:left="297"/>
              <w:spacing w:before="39" w:line="205" w:lineRule="auto"/>
              <w:rPr/>
            </w:pPr>
            <w:r>
              <w:rPr>
                <w:spacing w:val="-9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</w:tr>
      <w:tr>
        <w:trPr>
          <w:trHeight w:val="316" w:hRule="atLeast"/>
        </w:trPr>
        <w:tc>
          <w:tcPr>
            <w:tcW w:w="1345" w:type="dxa"/>
            <w:vAlign w:val="top"/>
          </w:tcPr>
          <w:p>
            <w:pPr>
              <w:pStyle w:val="TableText"/>
              <w:ind w:left="329"/>
              <w:spacing w:before="39" w:line="205" w:lineRule="auto"/>
              <w:rPr/>
            </w:pPr>
            <w:r>
              <w:rPr>
                <w:spacing w:val="-7"/>
              </w:rPr>
              <w:t>成果分</w:t>
            </w:r>
          </w:p>
        </w:tc>
        <w:tc>
          <w:tcPr>
            <w:tcW w:w="1082" w:type="dxa"/>
            <w:vAlign w:val="top"/>
          </w:tcPr>
          <w:p>
            <w:pPr>
              <w:pStyle w:val="TableText"/>
              <w:ind w:left="275"/>
              <w:spacing w:before="39" w:line="205" w:lineRule="auto"/>
              <w:rPr/>
            </w:pPr>
            <w:r>
              <w:rPr>
                <w:spacing w:val="-3"/>
              </w:rPr>
              <w:t>40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  <w:tc>
          <w:tcPr>
            <w:tcW w:w="1088" w:type="dxa"/>
            <w:vAlign w:val="top"/>
          </w:tcPr>
          <w:p>
            <w:pPr>
              <w:pStyle w:val="TableText"/>
              <w:ind w:left="281"/>
              <w:spacing w:before="39" w:line="205" w:lineRule="auto"/>
              <w:rPr/>
            </w:pPr>
            <w:r>
              <w:rPr>
                <w:spacing w:val="-4"/>
              </w:rPr>
              <w:t>60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分</w:t>
            </w:r>
          </w:p>
        </w:tc>
      </w:tr>
      <w:tr>
        <w:trPr>
          <w:trHeight w:val="321" w:hRule="atLeast"/>
        </w:trPr>
        <w:tc>
          <w:tcPr>
            <w:tcW w:w="1345" w:type="dxa"/>
            <w:vAlign w:val="top"/>
          </w:tcPr>
          <w:p>
            <w:pPr>
              <w:pStyle w:val="TableText"/>
              <w:ind w:left="452"/>
              <w:spacing w:before="43" w:line="206" w:lineRule="auto"/>
              <w:rPr/>
            </w:pPr>
            <w:r>
              <w:rPr>
                <w:spacing w:val="-12"/>
              </w:rPr>
              <w:t>合计</w:t>
            </w:r>
          </w:p>
        </w:tc>
        <w:tc>
          <w:tcPr>
            <w:tcW w:w="1082" w:type="dxa"/>
            <w:vAlign w:val="top"/>
          </w:tcPr>
          <w:p>
            <w:pPr>
              <w:pStyle w:val="TableText"/>
              <w:ind w:left="281"/>
              <w:spacing w:before="43" w:line="206" w:lineRule="auto"/>
              <w:rPr/>
            </w:pPr>
            <w:r>
              <w:rPr>
                <w:spacing w:val="-5"/>
              </w:rPr>
              <w:t>50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088" w:type="dxa"/>
            <w:vAlign w:val="top"/>
          </w:tcPr>
          <w:p>
            <w:pPr>
              <w:pStyle w:val="TableText"/>
              <w:ind w:left="285"/>
              <w:spacing w:before="43" w:line="206" w:lineRule="auto"/>
              <w:rPr/>
            </w:pPr>
            <w:r>
              <w:rPr>
                <w:spacing w:val="-5"/>
              </w:rPr>
              <w:t>70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</w:tr>
    </w:tbl>
    <w:p>
      <w:pPr>
        <w:pStyle w:val="BodyText"/>
        <w:spacing w:line="365" w:lineRule="auto"/>
        <w:rPr/>
      </w:pPr>
      <w:r/>
    </w:p>
    <w:p>
      <w:pPr>
        <w:ind w:left="497" w:right="4298" w:firstLine="13"/>
        <w:spacing w:before="78" w:line="26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科研成果主要包括以下几个方面：</w:t>
      </w:r>
      <w:r>
        <w:rPr>
          <w:rFonts w:ascii="FangSong" w:hAnsi="FangSong" w:eastAsia="FangSong" w:cs="FangSong"/>
          <w:sz w:val="24"/>
          <w:szCs w:val="24"/>
          <w:color w:val="333333"/>
          <w:spacing w:val="1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【发表论文】</w:t>
      </w:r>
    </w:p>
    <w:p>
      <w:pPr>
        <w:spacing w:line="263" w:lineRule="auto"/>
        <w:sectPr>
          <w:footerReference w:type="default" r:id="rId6"/>
          <w:pgSz w:w="11906" w:h="16839"/>
          <w:pgMar w:top="1431" w:right="1785" w:bottom="1362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512"/>
        <w:spacing w:before="64" w:line="321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*T1</w:t>
      </w:r>
      <w:r>
        <w:rPr>
          <w:rFonts w:ascii="Calibri" w:hAnsi="Calibri" w:eastAsia="Calibri" w:cs="Calibri"/>
          <w:sz w:val="24"/>
          <w:szCs w:val="24"/>
          <w:color w:val="333333"/>
          <w:spacing w:val="33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类论文，硕士生</w:t>
      </w:r>
      <w:r>
        <w:rPr>
          <w:rFonts w:ascii="FangSong" w:hAnsi="FangSong" w:eastAsia="FangSong" w:cs="FangSong"/>
          <w:sz w:val="24"/>
          <w:szCs w:val="24"/>
          <w:color w:val="333333"/>
          <w:spacing w:val="-55"/>
          <w:position w:val="1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40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篇，博士生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  <w:position w:val="1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60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篇。</w:t>
      </w:r>
    </w:p>
    <w:p>
      <w:pPr>
        <w:ind w:left="27" w:right="848" w:firstLine="485"/>
        <w:spacing w:before="39" w:line="27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*T2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类论文，基础分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20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篇，如影响因子（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）大于或等于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36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的，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20+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IF-3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*3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篇；如影响因子（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）小于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34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20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篇。</w:t>
      </w:r>
    </w:p>
    <w:p>
      <w:pPr>
        <w:ind w:left="34" w:right="734" w:firstLine="477"/>
        <w:spacing w:before="2" w:line="27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9"/>
        </w:rPr>
        <w:t>*A</w:t>
      </w:r>
      <w:r>
        <w:rPr>
          <w:rFonts w:ascii="Calibri" w:hAnsi="Calibri" w:eastAsia="Calibri" w:cs="Calibri"/>
          <w:sz w:val="24"/>
          <w:szCs w:val="24"/>
          <w:color w:val="333333"/>
          <w:spacing w:val="22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9"/>
        </w:rPr>
        <w:t>类论文，基础分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9"/>
        </w:rPr>
        <w:t>14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9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9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9"/>
        </w:rPr>
        <w:t>篇，如影响因子（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9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9"/>
        </w:rPr>
        <w:t>）大于或等于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0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3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的，</w:t>
      </w:r>
      <w:r>
        <w:rPr>
          <w:rFonts w:ascii="Calibri" w:hAnsi="Calibri" w:eastAsia="Calibri" w:cs="Calibri"/>
          <w:sz w:val="24"/>
          <w:szCs w:val="24"/>
          <w:color w:val="333333"/>
          <w:spacing w:val="-10"/>
        </w:rPr>
        <w:t>14+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IF-3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*1.5</w:t>
      </w:r>
      <w:r>
        <w:rPr>
          <w:rFonts w:ascii="Calibri" w:hAnsi="Calibri" w:eastAsia="Calibri" w:cs="Calibri"/>
          <w:sz w:val="24"/>
          <w:szCs w:val="24"/>
          <w:color w:val="333333"/>
          <w:spacing w:val="3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篇；如影响因子（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）小于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3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14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篇。</w:t>
      </w:r>
    </w:p>
    <w:p>
      <w:pPr>
        <w:ind w:left="37" w:right="770" w:firstLine="474"/>
        <w:spacing w:before="4" w:line="27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*B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类论文，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篇。若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B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类三区，如影响因子（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大于或等于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的，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10+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IF-3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*1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篇；如影响因子（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）小于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3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的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篇；若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B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类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四区，如影响因子（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）大于或等于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3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的，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10+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IF-3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*0.5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篇；如影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响因子（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）小于</w:t>
      </w:r>
      <w:r>
        <w:rPr>
          <w:rFonts w:ascii="FangSong" w:hAnsi="FangSong" w:eastAsia="FangSong" w:cs="FangSong"/>
          <w:sz w:val="24"/>
          <w:szCs w:val="24"/>
          <w:color w:val="333333"/>
          <w:spacing w:val="-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3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的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篇；若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B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类中文核心，则按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分一篇。</w:t>
      </w:r>
    </w:p>
    <w:p>
      <w:pPr>
        <w:ind w:left="512"/>
        <w:spacing w:before="2" w:line="321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*C</w:t>
      </w:r>
      <w:r>
        <w:rPr>
          <w:rFonts w:ascii="Calibri" w:hAnsi="Calibri" w:eastAsia="Calibri" w:cs="Calibri"/>
          <w:sz w:val="24"/>
          <w:szCs w:val="24"/>
          <w:color w:val="333333"/>
          <w:spacing w:val="29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类论文，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5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  <w:position w:val="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  <w:position w:val="1"/>
        </w:rPr>
        <w:t>篇，限加两篇。</w:t>
      </w:r>
    </w:p>
    <w:p>
      <w:pPr>
        <w:ind w:left="32" w:right="733" w:firstLine="478"/>
        <w:spacing w:before="79" w:line="267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论文所属分区以学校相关政策和图书馆提供的最新证明为准。论文以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正式刊发为准（含网络在线发表</w:t>
      </w:r>
      <w:r>
        <w:rPr>
          <w:rFonts w:ascii="FangSong" w:hAnsi="FangSong" w:eastAsia="FangSong" w:cs="FangSong"/>
          <w:sz w:val="24"/>
          <w:szCs w:val="24"/>
          <w:color w:val="333333"/>
          <w:spacing w:val="-15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影响因子大小以图书馆出具的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5</w:t>
      </w:r>
      <w:r>
        <w:rPr>
          <w:rFonts w:ascii="Calibri" w:hAnsi="Calibri" w:eastAsia="Calibri" w:cs="Calibri"/>
          <w:sz w:val="24"/>
          <w:szCs w:val="24"/>
          <w:color w:val="333333"/>
          <w:spacing w:val="27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年的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影响因子为准。</w:t>
      </w:r>
    </w:p>
    <w:p>
      <w:pPr>
        <w:ind w:left="39" w:right="733" w:firstLine="477"/>
        <w:spacing w:before="38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注：以上，邮件录用通知等其他形式录用通知不予加分。论文内容须</w:t>
      </w:r>
      <w:r>
        <w:rPr>
          <w:rFonts w:ascii="FangSong" w:hAnsi="FangSong" w:eastAsia="FangSong" w:cs="FangSong"/>
          <w:sz w:val="24"/>
          <w:szCs w:val="24"/>
          <w:color w:val="333333"/>
          <w:spacing w:val="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与所学专业相关，会议摘要不加分。</w:t>
      </w:r>
    </w:p>
    <w:p>
      <w:pPr>
        <w:ind w:left="25" w:right="733" w:firstLine="469"/>
        <w:spacing w:before="40" w:line="266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T1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类论文，第一作者和共同一作统一按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标准加分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，第二作者按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1"/>
        </w:rPr>
        <w:t>50%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>标准加分，第三、第四、第五作者按</w:t>
      </w:r>
      <w:r>
        <w:rPr>
          <w:rFonts w:ascii="Calibri" w:hAnsi="Calibri" w:eastAsia="Calibri" w:cs="Calibri"/>
          <w:sz w:val="24"/>
          <w:szCs w:val="24"/>
          <w:color w:val="333333"/>
          <w:spacing w:val="1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>标</w:t>
      </w:r>
      <w:r>
        <w:rPr>
          <w:rFonts w:ascii="FangSong" w:hAnsi="FangSong" w:eastAsia="FangSong" w:cs="FangSong"/>
          <w:sz w:val="24"/>
          <w:szCs w:val="24"/>
          <w:color w:val="333333"/>
        </w:rPr>
        <w:t>准加分。以非第一作者身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份发表多篇论文时，非第一作者的论文只加两篇的分数。</w:t>
      </w:r>
    </w:p>
    <w:p>
      <w:pPr>
        <w:ind w:left="29" w:right="634" w:firstLine="466"/>
        <w:spacing w:before="40" w:line="274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T2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类论文，根据影响因子（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）大小来确定作者排名的加分值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>：（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＜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1.0</w:t>
      </w:r>
      <w:r>
        <w:rPr>
          <w:rFonts w:ascii="Calibri" w:hAnsi="Calibri" w:eastAsia="Calibri" w:cs="Calibri"/>
          <w:sz w:val="24"/>
          <w:szCs w:val="24"/>
          <w:color w:val="333333"/>
          <w:spacing w:val="34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的，第一作者按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标准加分，其他作者不加分；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.0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≤（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29"/>
        </w:rPr>
        <w:t>）＜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3.0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  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>的，第一作者按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1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>标准加分，第二作者按</w:t>
      </w:r>
      <w:r>
        <w:rPr>
          <w:rFonts w:ascii="Calibri" w:hAnsi="Calibri" w:eastAsia="Calibri" w:cs="Calibri"/>
          <w:sz w:val="24"/>
          <w:szCs w:val="24"/>
          <w:color w:val="333333"/>
          <w:spacing w:val="1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</w:rPr>
        <w:t>0%</w:t>
      </w:r>
      <w:r>
        <w:rPr>
          <w:rFonts w:ascii="FangSong" w:hAnsi="FangSong" w:eastAsia="FangSong" w:cs="FangSong"/>
          <w:sz w:val="24"/>
          <w:szCs w:val="24"/>
          <w:color w:val="333333"/>
        </w:rPr>
        <w:t>标准加分，其他作者不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加分；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3.0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≤（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22"/>
        </w:rPr>
        <w:t>）＜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5.0</w:t>
      </w:r>
      <w:r>
        <w:rPr>
          <w:rFonts w:ascii="Calibri" w:hAnsi="Calibri" w:eastAsia="Calibri" w:cs="Calibri"/>
          <w:sz w:val="24"/>
          <w:szCs w:val="24"/>
          <w:color w:val="333333"/>
          <w:spacing w:val="3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的，第一作者按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标准加分，第二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30%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 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标准加分，第三作者按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10%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标准加分，其他作者不加分</w:t>
      </w:r>
      <w:r>
        <w:rPr>
          <w:rFonts w:ascii="FangSong" w:hAnsi="FangSong" w:eastAsia="FangSong" w:cs="FangSong"/>
          <w:sz w:val="24"/>
          <w:szCs w:val="24"/>
          <w:color w:val="333333"/>
          <w:spacing w:val="-19"/>
        </w:rPr>
        <w:t>；（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  <w:spacing w:val="-9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≥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5.0</w:t>
      </w:r>
      <w:r>
        <w:rPr>
          <w:rFonts w:ascii="Calibri" w:hAnsi="Calibri" w:eastAsia="Calibri" w:cs="Calibri"/>
          <w:sz w:val="24"/>
          <w:szCs w:val="24"/>
          <w:color w:val="333333"/>
          <w:spacing w:val="37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的，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>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1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>标准加分，第二作者按</w:t>
      </w:r>
      <w:r>
        <w:rPr>
          <w:rFonts w:ascii="Calibri" w:hAnsi="Calibri" w:eastAsia="Calibri" w:cs="Calibri"/>
          <w:sz w:val="24"/>
          <w:szCs w:val="24"/>
          <w:color w:val="333333"/>
          <w:spacing w:val="1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</w:rPr>
        <w:t>标准加分，第三、第四作者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按</w:t>
      </w:r>
      <w:r>
        <w:rPr>
          <w:rFonts w:ascii="FangSong" w:hAnsi="FangSong" w:eastAsia="FangSong" w:cs="FangSong"/>
          <w:sz w:val="24"/>
          <w:szCs w:val="24"/>
          <w:color w:val="333333"/>
          <w:spacing w:val="-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10%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标准加分，其他作者不加分。以非第一作者身份发表多篇论文时，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非第一作者的论文只加两篇的分数。如出现共同第一作者，则排头第一作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者按</w:t>
      </w:r>
      <w:r>
        <w:rPr>
          <w:rFonts w:ascii="FangSong" w:hAnsi="FangSong" w:eastAsia="FangSong" w:cs="FangSong"/>
          <w:sz w:val="24"/>
          <w:szCs w:val="24"/>
          <w:color w:val="333333"/>
          <w:spacing w:val="-3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标准加分，共同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</w:t>
      </w:r>
      <w:r>
        <w:rPr>
          <w:rFonts w:ascii="Calibri" w:hAnsi="Calibri" w:eastAsia="Calibri" w:cs="Calibri"/>
          <w:sz w:val="24"/>
          <w:szCs w:val="24"/>
          <w:color w:val="333333"/>
          <w:spacing w:val="2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作，排名第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2</w:t>
      </w:r>
      <w:r>
        <w:rPr>
          <w:rFonts w:ascii="Calibri" w:hAnsi="Calibri" w:eastAsia="Calibri" w:cs="Calibri"/>
          <w:sz w:val="24"/>
          <w:szCs w:val="24"/>
          <w:color w:val="333333"/>
          <w:spacing w:val="-2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，按照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60%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标准加分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，其他共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同作者按（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1/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共同作者数）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*100%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标准加分；共同作者（共同作者数设为</w:t>
      </w:r>
      <w:r>
        <w:rPr>
          <w:rFonts w:ascii="FangSong" w:hAnsi="FangSong" w:eastAsia="FangSong" w:cs="FangSong"/>
          <w:sz w:val="24"/>
          <w:szCs w:val="24"/>
          <w:color w:val="333333"/>
          <w:spacing w:val="14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N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人）之后的作者，则视为第（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N+1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）作者、（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N+2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）作者……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，具体加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分标准取决于影响因子的大小。</w:t>
      </w:r>
    </w:p>
    <w:p>
      <w:pPr>
        <w:ind w:left="26" w:right="634" w:firstLine="472"/>
        <w:spacing w:before="47" w:line="273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A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B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C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类论文，根据影响因子（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）大小来确定作者排名的加分值：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（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29"/>
        </w:rPr>
        <w:t>）＜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1.0</w:t>
      </w:r>
      <w:r>
        <w:rPr>
          <w:rFonts w:ascii="Calibri" w:hAnsi="Calibri" w:eastAsia="Calibri" w:cs="Calibri"/>
          <w:sz w:val="24"/>
          <w:szCs w:val="24"/>
          <w:color w:val="333333"/>
          <w:spacing w:val="3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的，第一作者按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标准加分，其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他作者不加分；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1.0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≤（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＜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3.0</w:t>
      </w:r>
      <w:r>
        <w:rPr>
          <w:rFonts w:ascii="Calibri" w:hAnsi="Calibri" w:eastAsia="Calibri" w:cs="Calibri"/>
          <w:sz w:val="24"/>
          <w:szCs w:val="24"/>
          <w:color w:val="333333"/>
          <w:spacing w:val="51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的，第一作者按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标准加分，第二作者按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标准加分，其他作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者不加分；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3.0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≤（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23"/>
        </w:rPr>
        <w:t>）＜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5.0</w:t>
      </w:r>
      <w:r>
        <w:rPr>
          <w:rFonts w:ascii="Calibri" w:hAnsi="Calibri" w:eastAsia="Calibri" w:cs="Calibri"/>
          <w:sz w:val="24"/>
          <w:szCs w:val="24"/>
          <w:color w:val="333333"/>
          <w:spacing w:val="37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的，第一作者按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标准加分，第二作者按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标准加分，第三作者按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3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10%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标准加分，其他作者不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加分</w:t>
      </w:r>
      <w:r>
        <w:rPr>
          <w:rFonts w:ascii="FangSong" w:hAnsi="FangSong" w:eastAsia="FangSong" w:cs="FangSong"/>
          <w:sz w:val="24"/>
          <w:szCs w:val="24"/>
          <w:color w:val="333333"/>
          <w:spacing w:val="-20"/>
        </w:rPr>
        <w:t>；（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IF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≥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5.0</w:t>
      </w:r>
      <w:r>
        <w:rPr>
          <w:rFonts w:ascii="Calibri" w:hAnsi="Calibri" w:eastAsia="Calibri" w:cs="Calibri"/>
          <w:sz w:val="24"/>
          <w:szCs w:val="24"/>
          <w:color w:val="333333"/>
        </w:rPr>
        <w:t xml:space="preserve">  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的，第一作者按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3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标准加分，第二作者按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标准加分，第三、第四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3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10%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标准加分，其他作者不加分。以非第一作者身份发表多篇论文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时，非第一作者的论文只加两篇的分数。如出现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共同第一作者，则排头第</w:t>
      </w:r>
    </w:p>
    <w:p>
      <w:pPr>
        <w:spacing w:line="273" w:lineRule="auto"/>
        <w:sectPr>
          <w:footerReference w:type="default" r:id="rId7"/>
          <w:pgSz w:w="11906" w:h="16839"/>
          <w:pgMar w:top="1420" w:right="1785" w:bottom="1360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127" w:right="708" w:firstLine="4"/>
        <w:spacing w:before="64" w:line="271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一作者按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标准加分，其他共同作者按（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1/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共同作者数）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*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标准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加分；共同作者（共同作者数设为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N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人）之后的作者，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则视为第（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N+1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）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作者、（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N+2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）作者……</w:t>
      </w:r>
      <w:r>
        <w:rPr>
          <w:rFonts w:ascii="FangSong" w:hAnsi="FangSong" w:eastAsia="FangSong" w:cs="FangSong"/>
          <w:sz w:val="24"/>
          <w:szCs w:val="24"/>
          <w:color w:val="333333"/>
          <w:spacing w:val="-7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，具体加分标准取决于影响因子的大小。</w:t>
      </w:r>
    </w:p>
    <w:p>
      <w:pPr>
        <w:pStyle w:val="BodyText"/>
        <w:spacing w:line="343" w:lineRule="auto"/>
        <w:rPr/>
      </w:pPr>
      <w:r/>
    </w:p>
    <w:p>
      <w:pPr>
        <w:ind w:left="595"/>
        <w:spacing w:before="78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【学科竞赛或创新创业竞赛奖励】</w:t>
      </w:r>
    </w:p>
    <w:tbl>
      <w:tblPr>
        <w:tblStyle w:val="TableNormal"/>
        <w:tblW w:w="772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41"/>
        <w:gridCol w:w="1391"/>
        <w:gridCol w:w="985"/>
        <w:gridCol w:w="1060"/>
        <w:gridCol w:w="2643"/>
      </w:tblGrid>
      <w:tr>
        <w:trPr>
          <w:trHeight w:val="320" w:hRule="atLeast"/>
        </w:trPr>
        <w:tc>
          <w:tcPr>
            <w:tcW w:w="1641" w:type="dxa"/>
            <w:vAlign w:val="top"/>
            <w:tcBorders>
              <w:tl2br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1" w:type="dxa"/>
            <w:vAlign w:val="top"/>
          </w:tcPr>
          <w:p>
            <w:pPr>
              <w:pStyle w:val="TableText"/>
              <w:ind w:left="351"/>
              <w:spacing w:before="42" w:line="206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985" w:type="dxa"/>
            <w:vAlign w:val="top"/>
          </w:tcPr>
          <w:p>
            <w:pPr>
              <w:pStyle w:val="TableText"/>
              <w:ind w:left="152"/>
              <w:spacing w:before="42" w:line="206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1060" w:type="dxa"/>
            <w:vAlign w:val="top"/>
          </w:tcPr>
          <w:p>
            <w:pPr>
              <w:pStyle w:val="TableText"/>
              <w:ind w:left="190"/>
              <w:spacing w:before="42" w:line="206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264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7" w:line="222" w:lineRule="auto"/>
              <w:rPr/>
            </w:pPr>
            <w:r>
              <w:rPr>
                <w:spacing w:val="-10"/>
              </w:rPr>
              <w:t>第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名：加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100%；</w:t>
            </w:r>
          </w:p>
          <w:p>
            <w:pPr>
              <w:pStyle w:val="TableText"/>
              <w:ind w:left="413"/>
              <w:spacing w:before="23" w:line="222" w:lineRule="auto"/>
              <w:rPr/>
            </w:pPr>
            <w:r>
              <w:rPr>
                <w:spacing w:val="-8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2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名：加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30%；</w:t>
            </w:r>
          </w:p>
          <w:p>
            <w:pPr>
              <w:pStyle w:val="TableText"/>
              <w:ind w:left="413" w:right="390"/>
              <w:spacing w:before="23" w:line="231" w:lineRule="auto"/>
              <w:rPr/>
            </w:pPr>
            <w:r>
              <w:rPr>
                <w:spacing w:val="-10"/>
              </w:rPr>
              <w:t>第</w:t>
            </w:r>
            <w:r>
              <w:rPr>
                <w:spacing w:val="-41"/>
              </w:rPr>
              <w:t xml:space="preserve"> </w:t>
            </w:r>
            <w:r>
              <w:rPr>
                <w:spacing w:val="-10"/>
              </w:rPr>
              <w:t>3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名：加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10%；</w:t>
            </w:r>
            <w:r>
              <w:rPr/>
              <w:t xml:space="preserve"> </w:t>
            </w:r>
            <w:r>
              <w:rPr>
                <w:spacing w:val="-8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4、5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名：加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5%</w:t>
            </w:r>
          </w:p>
        </w:tc>
      </w:tr>
      <w:tr>
        <w:trPr>
          <w:trHeight w:val="316" w:hRule="atLeast"/>
        </w:trPr>
        <w:tc>
          <w:tcPr>
            <w:tcW w:w="1641" w:type="dxa"/>
            <w:vAlign w:val="top"/>
          </w:tcPr>
          <w:p>
            <w:pPr>
              <w:pStyle w:val="TableText"/>
              <w:ind w:left="501"/>
              <w:spacing w:before="38" w:line="206" w:lineRule="auto"/>
              <w:rPr/>
            </w:pPr>
            <w:r>
              <w:rPr>
                <w:spacing w:val="-15"/>
              </w:rPr>
              <w:t>国家级</w:t>
            </w:r>
          </w:p>
        </w:tc>
        <w:tc>
          <w:tcPr>
            <w:tcW w:w="1391" w:type="dxa"/>
            <w:vAlign w:val="top"/>
          </w:tcPr>
          <w:p>
            <w:pPr>
              <w:pStyle w:val="TableText"/>
              <w:ind w:left="597"/>
              <w:spacing w:before="78" w:line="175" w:lineRule="auto"/>
              <w:rPr/>
            </w:pPr>
            <w:r>
              <w:rPr>
                <w:spacing w:val="-14"/>
              </w:rPr>
              <w:t>12</w:t>
            </w:r>
          </w:p>
        </w:tc>
        <w:tc>
          <w:tcPr>
            <w:tcW w:w="985" w:type="dxa"/>
            <w:vAlign w:val="top"/>
          </w:tcPr>
          <w:p>
            <w:pPr>
              <w:pStyle w:val="TableText"/>
              <w:ind w:left="394"/>
              <w:spacing w:before="78" w:line="175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1060" w:type="dxa"/>
            <w:vAlign w:val="top"/>
          </w:tcPr>
          <w:p>
            <w:pPr>
              <w:pStyle w:val="TableText"/>
              <w:ind w:left="477"/>
              <w:spacing w:before="79" w:line="174" w:lineRule="auto"/>
              <w:rPr/>
            </w:pPr>
            <w:r>
              <w:rPr/>
              <w:t>9</w:t>
            </w:r>
          </w:p>
        </w:tc>
        <w:tc>
          <w:tcPr>
            <w:tcW w:w="26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641" w:type="dxa"/>
            <w:vAlign w:val="top"/>
          </w:tcPr>
          <w:p>
            <w:pPr>
              <w:pStyle w:val="TableText"/>
              <w:ind w:left="595"/>
              <w:spacing w:before="39" w:line="205" w:lineRule="auto"/>
              <w:rPr/>
            </w:pPr>
            <w:r>
              <w:rPr>
                <w:spacing w:val="-9"/>
              </w:rPr>
              <w:t>省级</w:t>
            </w:r>
          </w:p>
        </w:tc>
        <w:tc>
          <w:tcPr>
            <w:tcW w:w="1391" w:type="dxa"/>
            <w:vAlign w:val="top"/>
          </w:tcPr>
          <w:p>
            <w:pPr>
              <w:pStyle w:val="TableText"/>
              <w:ind w:left="640"/>
              <w:spacing w:before="81" w:line="173" w:lineRule="auto"/>
              <w:rPr/>
            </w:pPr>
            <w:r>
              <w:rPr/>
              <w:t>8</w:t>
            </w:r>
          </w:p>
        </w:tc>
        <w:tc>
          <w:tcPr>
            <w:tcW w:w="985" w:type="dxa"/>
            <w:vAlign w:val="top"/>
          </w:tcPr>
          <w:p>
            <w:pPr>
              <w:pStyle w:val="TableText"/>
              <w:ind w:left="438"/>
              <w:spacing w:before="81" w:line="173" w:lineRule="auto"/>
              <w:rPr/>
            </w:pPr>
            <w:r>
              <w:rPr/>
              <w:t>6</w:t>
            </w:r>
          </w:p>
        </w:tc>
        <w:tc>
          <w:tcPr>
            <w:tcW w:w="1060" w:type="dxa"/>
            <w:vAlign w:val="top"/>
          </w:tcPr>
          <w:p>
            <w:pPr>
              <w:pStyle w:val="TableText"/>
              <w:ind w:left="481"/>
              <w:spacing w:before="82" w:line="172" w:lineRule="auto"/>
              <w:rPr/>
            </w:pPr>
            <w:r>
              <w:rPr/>
              <w:t>5</w:t>
            </w:r>
          </w:p>
        </w:tc>
        <w:tc>
          <w:tcPr>
            <w:tcW w:w="26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641" w:type="dxa"/>
            <w:vAlign w:val="top"/>
          </w:tcPr>
          <w:p>
            <w:pPr>
              <w:pStyle w:val="TableText"/>
              <w:ind w:left="300"/>
              <w:spacing w:before="39" w:line="205" w:lineRule="auto"/>
              <w:rPr/>
            </w:pPr>
            <w:r>
              <w:rPr>
                <w:spacing w:val="-5"/>
              </w:rPr>
              <w:t>市级/校级</w:t>
            </w:r>
          </w:p>
        </w:tc>
        <w:tc>
          <w:tcPr>
            <w:tcW w:w="1391" w:type="dxa"/>
            <w:vAlign w:val="top"/>
          </w:tcPr>
          <w:p>
            <w:pPr>
              <w:pStyle w:val="TableText"/>
              <w:ind w:left="639"/>
              <w:spacing w:before="81" w:line="173" w:lineRule="auto"/>
              <w:rPr/>
            </w:pPr>
            <w:r>
              <w:rPr/>
              <w:t>4</w:t>
            </w:r>
          </w:p>
        </w:tc>
        <w:tc>
          <w:tcPr>
            <w:tcW w:w="985" w:type="dxa"/>
            <w:vAlign w:val="top"/>
          </w:tcPr>
          <w:p>
            <w:pPr>
              <w:pStyle w:val="TableText"/>
              <w:ind w:left="441"/>
              <w:spacing w:before="81" w:line="173" w:lineRule="auto"/>
              <w:rPr/>
            </w:pPr>
            <w:r>
              <w:rPr/>
              <w:t>3</w:t>
            </w:r>
          </w:p>
        </w:tc>
        <w:tc>
          <w:tcPr>
            <w:tcW w:w="1060" w:type="dxa"/>
            <w:vAlign w:val="top"/>
          </w:tcPr>
          <w:p>
            <w:pPr>
              <w:pStyle w:val="TableText"/>
              <w:ind w:left="479"/>
              <w:spacing w:before="81" w:line="173" w:lineRule="auto"/>
              <w:rPr/>
            </w:pPr>
            <w:r>
              <w:rPr/>
              <w:t>2</w:t>
            </w:r>
          </w:p>
        </w:tc>
        <w:tc>
          <w:tcPr>
            <w:tcW w:w="26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1" w:hRule="atLeast"/>
        </w:trPr>
        <w:tc>
          <w:tcPr>
            <w:tcW w:w="1641" w:type="dxa"/>
            <w:vAlign w:val="top"/>
          </w:tcPr>
          <w:p>
            <w:pPr>
              <w:pStyle w:val="TableText"/>
              <w:ind w:left="608"/>
              <w:spacing w:before="43" w:line="206" w:lineRule="auto"/>
              <w:rPr/>
            </w:pPr>
            <w:r>
              <w:rPr>
                <w:spacing w:val="-15"/>
              </w:rPr>
              <w:t>院级</w:t>
            </w:r>
          </w:p>
        </w:tc>
        <w:tc>
          <w:tcPr>
            <w:tcW w:w="1391" w:type="dxa"/>
            <w:vAlign w:val="top"/>
          </w:tcPr>
          <w:p>
            <w:pPr>
              <w:pStyle w:val="TableText"/>
              <w:ind w:left="537"/>
              <w:spacing w:before="83" w:line="175" w:lineRule="auto"/>
              <w:rPr/>
            </w:pPr>
            <w:r>
              <w:rPr>
                <w:spacing w:val="-9"/>
              </w:rPr>
              <w:t>1.5</w:t>
            </w:r>
          </w:p>
        </w:tc>
        <w:tc>
          <w:tcPr>
            <w:tcW w:w="985" w:type="dxa"/>
            <w:vAlign w:val="top"/>
          </w:tcPr>
          <w:p>
            <w:pPr>
              <w:pStyle w:val="TableText"/>
              <w:ind w:left="454"/>
              <w:spacing w:before="83" w:line="175" w:lineRule="auto"/>
              <w:rPr/>
            </w:pPr>
            <w:r>
              <w:rPr/>
              <w:t>1</w:t>
            </w:r>
          </w:p>
        </w:tc>
        <w:tc>
          <w:tcPr>
            <w:tcW w:w="1060" w:type="dxa"/>
            <w:vAlign w:val="top"/>
          </w:tcPr>
          <w:p>
            <w:pPr>
              <w:pStyle w:val="TableText"/>
              <w:ind w:left="358"/>
              <w:spacing w:before="84" w:line="174" w:lineRule="auto"/>
              <w:rPr/>
            </w:pPr>
            <w:r>
              <w:rPr>
                <w:spacing w:val="-4"/>
              </w:rPr>
              <w:t>0.5</w:t>
            </w:r>
          </w:p>
        </w:tc>
        <w:tc>
          <w:tcPr>
            <w:tcW w:w="26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28" w:right="733" w:firstLine="504"/>
        <w:spacing w:before="84" w:line="26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5"/>
        </w:rPr>
        <w:t>以上各级奖励均应由政府部门、机关单位、党团组织，或国家一级行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4"/>
        </w:rPr>
        <w:t>业学会和协会颁发。各类奖励的级别以所盖的公章为准。以上各级奖励均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1"/>
        </w:rPr>
        <w:t>应提供盖有公章的证明。同一作品（项目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36"/>
        </w:rPr>
        <w:t>）（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1"/>
        </w:rPr>
        <w:t>不管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2"/>
        </w:rPr>
        <w:t>是否在同一比赛）多次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</w:rPr>
        <w:t>获奖，且获奖时间都发生在当年评优时间内，按最高获奖级别加分。</w:t>
      </w:r>
    </w:p>
    <w:p>
      <w:pPr>
        <w:pStyle w:val="BodyText"/>
        <w:spacing w:line="322" w:lineRule="auto"/>
        <w:rPr/>
      </w:pPr>
      <w:r/>
    </w:p>
    <w:p>
      <w:pPr>
        <w:ind w:left="595"/>
        <w:spacing w:before="78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【科研项目和创新创业项目】</w:t>
      </w:r>
    </w:p>
    <w:tbl>
      <w:tblPr>
        <w:tblStyle w:val="TableNormal"/>
        <w:tblW w:w="7590" w:type="dxa"/>
        <w:tblInd w:w="10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32"/>
        <w:gridCol w:w="1973"/>
        <w:gridCol w:w="2885"/>
      </w:tblGrid>
      <w:tr>
        <w:trPr>
          <w:trHeight w:val="632" w:hRule="atLeast"/>
        </w:trPr>
        <w:tc>
          <w:tcPr>
            <w:tcW w:w="2732" w:type="dxa"/>
            <w:vAlign w:val="top"/>
          </w:tcPr>
          <w:p>
            <w:pPr>
              <w:pStyle w:val="TableText"/>
              <w:ind w:left="900"/>
              <w:spacing w:before="197" w:line="223" w:lineRule="auto"/>
              <w:rPr/>
            </w:pPr>
            <w:r>
              <w:rPr>
                <w:spacing w:val="-5"/>
              </w:rPr>
              <w:t>项目级别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ind w:left="550"/>
              <w:spacing w:before="41" w:line="224" w:lineRule="auto"/>
              <w:rPr/>
            </w:pPr>
            <w:r>
              <w:rPr>
                <w:spacing w:val="-12"/>
              </w:rPr>
              <w:t>已立项的</w:t>
            </w:r>
          </w:p>
          <w:p>
            <w:pPr>
              <w:pStyle w:val="TableText"/>
              <w:ind w:left="164"/>
              <w:spacing w:before="21" w:line="206" w:lineRule="auto"/>
              <w:rPr/>
            </w:pPr>
            <w:r>
              <w:rPr>
                <w:spacing w:val="-3"/>
              </w:rPr>
              <w:t>（第一次加分）</w:t>
            </w:r>
          </w:p>
        </w:tc>
        <w:tc>
          <w:tcPr>
            <w:tcW w:w="2885" w:type="dxa"/>
            <w:vAlign w:val="top"/>
          </w:tcPr>
          <w:p>
            <w:pPr>
              <w:pStyle w:val="TableText"/>
              <w:ind w:left="1125"/>
              <w:spacing w:before="41" w:line="224" w:lineRule="auto"/>
              <w:rPr/>
            </w:pPr>
            <w:r>
              <w:rPr>
                <w:spacing w:val="-16"/>
              </w:rPr>
              <w:t>已结题</w:t>
            </w:r>
          </w:p>
          <w:p>
            <w:pPr>
              <w:pStyle w:val="TableText"/>
              <w:ind w:left="620"/>
              <w:spacing w:before="21" w:line="206" w:lineRule="auto"/>
              <w:rPr/>
            </w:pPr>
            <w:r>
              <w:rPr>
                <w:spacing w:val="-3"/>
              </w:rPr>
              <w:t>（第二次加分）</w:t>
            </w:r>
          </w:p>
        </w:tc>
      </w:tr>
      <w:tr>
        <w:trPr>
          <w:trHeight w:val="628" w:hRule="atLeast"/>
        </w:trPr>
        <w:tc>
          <w:tcPr>
            <w:tcW w:w="2732" w:type="dxa"/>
            <w:vAlign w:val="top"/>
          </w:tcPr>
          <w:p>
            <w:pPr>
              <w:pStyle w:val="TableText"/>
              <w:ind w:left="926"/>
              <w:spacing w:before="38" w:line="223" w:lineRule="auto"/>
              <w:rPr/>
            </w:pPr>
            <w:r>
              <w:rPr>
                <w:spacing w:val="-11"/>
              </w:rPr>
              <w:t>国家级、</w:t>
            </w:r>
          </w:p>
          <w:p>
            <w:pPr>
              <w:pStyle w:val="TableText"/>
              <w:ind w:left="675"/>
              <w:spacing w:before="21" w:line="206" w:lineRule="auto"/>
              <w:rPr/>
            </w:pPr>
            <w:r>
              <w:rPr>
                <w:spacing w:val="-4"/>
              </w:rPr>
              <w:t>A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类横向项目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ind w:left="936"/>
              <w:spacing w:before="237" w:line="179" w:lineRule="auto"/>
              <w:rPr/>
            </w:pPr>
            <w:r>
              <w:rPr/>
              <w:t>5</w:t>
            </w:r>
          </w:p>
        </w:tc>
        <w:tc>
          <w:tcPr>
            <w:tcW w:w="2885" w:type="dxa"/>
            <w:vAlign w:val="top"/>
          </w:tcPr>
          <w:p>
            <w:pPr>
              <w:pStyle w:val="TableText"/>
              <w:ind w:left="1392"/>
              <w:spacing w:before="237" w:line="179" w:lineRule="auto"/>
              <w:rPr/>
            </w:pPr>
            <w:r>
              <w:rPr/>
              <w:t>5</w:t>
            </w:r>
          </w:p>
        </w:tc>
      </w:tr>
      <w:tr>
        <w:trPr>
          <w:trHeight w:val="628" w:hRule="atLeast"/>
        </w:trPr>
        <w:tc>
          <w:tcPr>
            <w:tcW w:w="2732" w:type="dxa"/>
            <w:vAlign w:val="top"/>
          </w:tcPr>
          <w:p>
            <w:pPr>
              <w:pStyle w:val="TableText"/>
              <w:ind w:left="677" w:right="672" w:hanging="16"/>
              <w:spacing w:before="38" w:line="223" w:lineRule="auto"/>
              <w:rPr/>
            </w:pPr>
            <w:r>
              <w:rPr>
                <w:spacing w:val="-8"/>
              </w:rPr>
              <w:t>省（部）级、</w:t>
            </w:r>
            <w:r>
              <w:rPr/>
              <w:t xml:space="preserve"> </w:t>
            </w:r>
            <w:r>
              <w:rPr>
                <w:spacing w:val="-4"/>
              </w:rPr>
              <w:t>B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类横向项目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ind w:left="936"/>
              <w:spacing w:before="236" w:line="180" w:lineRule="auto"/>
              <w:rPr/>
            </w:pPr>
            <w:r>
              <w:rPr/>
              <w:t>3</w:t>
            </w:r>
          </w:p>
        </w:tc>
        <w:tc>
          <w:tcPr>
            <w:tcW w:w="2885" w:type="dxa"/>
            <w:vAlign w:val="top"/>
          </w:tcPr>
          <w:p>
            <w:pPr>
              <w:pStyle w:val="TableText"/>
              <w:ind w:left="1392"/>
              <w:spacing w:before="236" w:line="180" w:lineRule="auto"/>
              <w:rPr/>
            </w:pPr>
            <w:r>
              <w:rPr/>
              <w:t>3</w:t>
            </w:r>
          </w:p>
        </w:tc>
      </w:tr>
      <w:tr>
        <w:trPr>
          <w:trHeight w:val="628" w:hRule="atLeast"/>
        </w:trPr>
        <w:tc>
          <w:tcPr>
            <w:tcW w:w="2732" w:type="dxa"/>
            <w:vAlign w:val="top"/>
          </w:tcPr>
          <w:p>
            <w:pPr>
              <w:pStyle w:val="TableText"/>
              <w:ind w:left="680" w:right="643" w:hanging="3"/>
              <w:spacing w:before="40" w:line="222" w:lineRule="auto"/>
              <w:rPr/>
            </w:pPr>
            <w:r>
              <w:rPr>
                <w:spacing w:val="-6"/>
              </w:rPr>
              <w:t>、市级、校级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类横向项目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ind w:left="934"/>
              <w:spacing w:before="237" w:line="180" w:lineRule="auto"/>
              <w:rPr/>
            </w:pPr>
            <w:r>
              <w:rPr/>
              <w:t>2</w:t>
            </w:r>
          </w:p>
        </w:tc>
        <w:tc>
          <w:tcPr>
            <w:tcW w:w="2885" w:type="dxa"/>
            <w:vAlign w:val="top"/>
          </w:tcPr>
          <w:p>
            <w:pPr>
              <w:pStyle w:val="TableText"/>
              <w:ind w:left="1390"/>
              <w:spacing w:before="237" w:line="180" w:lineRule="auto"/>
              <w:rPr/>
            </w:pPr>
            <w:r>
              <w:rPr/>
              <w:t>2</w:t>
            </w:r>
          </w:p>
        </w:tc>
      </w:tr>
      <w:tr>
        <w:trPr>
          <w:trHeight w:val="321" w:hRule="atLeast"/>
        </w:trPr>
        <w:tc>
          <w:tcPr>
            <w:tcW w:w="2732" w:type="dxa"/>
            <w:vAlign w:val="top"/>
          </w:tcPr>
          <w:p>
            <w:pPr>
              <w:pStyle w:val="TableText"/>
              <w:ind w:left="1153"/>
              <w:spacing w:before="43" w:line="206" w:lineRule="auto"/>
              <w:rPr/>
            </w:pPr>
            <w:r>
              <w:rPr>
                <w:spacing w:val="-15"/>
              </w:rPr>
              <w:t>院级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ind w:left="949"/>
              <w:spacing w:before="83" w:line="175" w:lineRule="auto"/>
              <w:rPr/>
            </w:pPr>
            <w:r>
              <w:rPr/>
              <w:t>1</w:t>
            </w:r>
          </w:p>
        </w:tc>
        <w:tc>
          <w:tcPr>
            <w:tcW w:w="2885" w:type="dxa"/>
            <w:vAlign w:val="top"/>
          </w:tcPr>
          <w:p>
            <w:pPr>
              <w:pStyle w:val="TableText"/>
              <w:ind w:left="1405"/>
              <w:spacing w:before="83" w:line="175" w:lineRule="auto"/>
              <w:rPr/>
            </w:pPr>
            <w:r>
              <w:rPr/>
              <w:t>1</w:t>
            </w:r>
          </w:p>
        </w:tc>
      </w:tr>
    </w:tbl>
    <w:p>
      <w:pPr>
        <w:ind w:left="128" w:right="733" w:firstLine="504"/>
        <w:spacing w:before="84" w:line="272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以上各类项目均应由政府部门、机关单位、党团组织，或国家一级行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业学会和协会举办，申请者务必为项目第一主持人（本科生项目不纳入此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范围</w:t>
      </w:r>
      <w:r>
        <w:rPr>
          <w:rFonts w:ascii="FangSong" w:hAnsi="FangSong" w:eastAsia="FangSong" w:cs="FangSong"/>
          <w:sz w:val="24"/>
          <w:szCs w:val="24"/>
          <w:color w:val="333333"/>
          <w:spacing w:val="-11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其他成员不加分，若项目属于横向性质的，可参照文件《关于印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发华南农业大学职称评审办法的通知》（华南农办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[2022]9</w:t>
      </w:r>
      <w:r>
        <w:rPr>
          <w:rFonts w:ascii="Calibri" w:hAnsi="Calibri" w:eastAsia="Calibri" w:cs="Calibri"/>
          <w:sz w:val="24"/>
          <w:szCs w:val="24"/>
          <w:color w:val="333333"/>
          <w:spacing w:val="2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号）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进行级别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认定。</w:t>
      </w:r>
    </w:p>
    <w:p>
      <w:pPr>
        <w:pStyle w:val="BodyText"/>
        <w:spacing w:line="314" w:lineRule="auto"/>
        <w:rPr/>
      </w:pPr>
      <w:r/>
    </w:p>
    <w:p>
      <w:pPr>
        <w:ind w:left="595"/>
        <w:spacing w:before="78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【专著（编、译）书籍】</w:t>
      </w:r>
    </w:p>
    <w:tbl>
      <w:tblPr>
        <w:tblStyle w:val="TableNormal"/>
        <w:tblW w:w="7568" w:type="dxa"/>
        <w:tblInd w:w="11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77"/>
        <w:gridCol w:w="1991"/>
        <w:gridCol w:w="1500"/>
      </w:tblGrid>
      <w:tr>
        <w:trPr>
          <w:trHeight w:val="321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1815"/>
              <w:spacing w:before="41" w:line="207" w:lineRule="auto"/>
              <w:rPr/>
            </w:pPr>
            <w:r>
              <w:rPr>
                <w:color w:val="333333"/>
                <w:spacing w:val="-10"/>
              </w:rPr>
              <w:t>类别</w:t>
            </w:r>
          </w:p>
        </w:tc>
        <w:tc>
          <w:tcPr>
            <w:tcW w:w="3491" w:type="dxa"/>
            <w:vAlign w:val="top"/>
            <w:gridSpan w:val="2"/>
          </w:tcPr>
          <w:p>
            <w:pPr>
              <w:pStyle w:val="TableText"/>
              <w:ind w:left="1516"/>
              <w:spacing w:before="41" w:line="207" w:lineRule="auto"/>
              <w:rPr/>
            </w:pPr>
            <w:r>
              <w:rPr>
                <w:spacing w:val="-8"/>
              </w:rPr>
              <w:t>加分</w:t>
            </w:r>
          </w:p>
        </w:tc>
      </w:tr>
      <w:tr>
        <w:trPr>
          <w:trHeight w:val="627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1074" w:right="136" w:hanging="941"/>
              <w:spacing w:before="37" w:line="223" w:lineRule="auto"/>
              <w:rPr/>
            </w:pPr>
            <w:r>
              <w:rPr>
                <w:color w:val="333333"/>
                <w:spacing w:val="-3"/>
              </w:rPr>
              <w:t>本学科的外文版学术专著（编、译）</w:t>
            </w:r>
            <w:r>
              <w:rPr>
                <w:color w:val="333333"/>
                <w:spacing w:val="9"/>
              </w:rPr>
              <w:t xml:space="preserve"> </w:t>
            </w:r>
            <w:r>
              <w:rPr>
                <w:color w:val="333333"/>
                <w:spacing w:val="-5"/>
              </w:rPr>
              <w:t>书籍(10</w:t>
            </w:r>
            <w:r>
              <w:rPr>
                <w:color w:val="333333"/>
                <w:spacing w:val="-39"/>
              </w:rPr>
              <w:t xml:space="preserve"> </w:t>
            </w:r>
            <w:r>
              <w:rPr>
                <w:color w:val="333333"/>
                <w:spacing w:val="-5"/>
              </w:rPr>
              <w:t>万字以上)</w:t>
            </w:r>
          </w:p>
        </w:tc>
        <w:tc>
          <w:tcPr>
            <w:tcW w:w="1991" w:type="dxa"/>
            <w:vAlign w:val="top"/>
          </w:tcPr>
          <w:p>
            <w:pPr>
              <w:pStyle w:val="TableText"/>
              <w:ind w:left="570"/>
              <w:spacing w:before="193" w:line="222" w:lineRule="auto"/>
              <w:rPr/>
            </w:pPr>
            <w:r>
              <w:rPr>
                <w:spacing w:val="-9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分/部</w:t>
            </w:r>
          </w:p>
        </w:tc>
        <w:tc>
          <w:tcPr>
            <w:tcW w:w="15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12" w:right="268" w:hanging="123"/>
              <w:spacing w:before="47" w:line="231" w:lineRule="auto"/>
              <w:rPr/>
            </w:pPr>
            <w:r>
              <w:rPr>
                <w:spacing w:val="-6"/>
              </w:rPr>
              <w:t>主</w:t>
            </w:r>
            <w:r>
              <w:rPr>
                <w:color w:val="333333"/>
                <w:spacing w:val="-6"/>
              </w:rPr>
              <w:t>编：加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6"/>
              </w:rPr>
              <w:t>100%；</w:t>
            </w:r>
          </w:p>
          <w:p>
            <w:pPr>
              <w:pStyle w:val="TableText"/>
              <w:ind w:left="121" w:right="107" w:firstLine="47"/>
              <w:spacing w:before="22" w:line="232" w:lineRule="auto"/>
              <w:jc w:val="both"/>
              <w:rPr/>
            </w:pPr>
            <w:r>
              <w:rPr>
                <w:color w:val="333333"/>
                <w:spacing w:val="-5"/>
              </w:rPr>
              <w:t>副主编：加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8"/>
              </w:rPr>
              <w:t>30%；其他编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5"/>
              </w:rPr>
              <w:t>委：加</w:t>
            </w:r>
            <w:r>
              <w:rPr>
                <w:color w:val="333333"/>
                <w:spacing w:val="-34"/>
              </w:rPr>
              <w:t xml:space="preserve"> </w:t>
            </w:r>
            <w:r>
              <w:rPr>
                <w:color w:val="333333"/>
                <w:spacing w:val="5"/>
              </w:rPr>
              <w:t>10%</w:t>
            </w:r>
          </w:p>
        </w:tc>
      </w:tr>
      <w:tr>
        <w:trPr>
          <w:trHeight w:val="627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1073" w:right="136" w:hanging="917"/>
              <w:spacing w:before="39" w:line="222" w:lineRule="auto"/>
              <w:rPr/>
            </w:pPr>
            <w:r>
              <w:rPr>
                <w:color w:val="333333"/>
                <w:spacing w:val="-4"/>
              </w:rPr>
              <w:t>出版本学科的中文版学术专著（编）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5"/>
              </w:rPr>
              <w:t>书籍(10</w:t>
            </w:r>
            <w:r>
              <w:rPr>
                <w:color w:val="333333"/>
                <w:spacing w:val="-39"/>
              </w:rPr>
              <w:t xml:space="preserve"> </w:t>
            </w:r>
            <w:r>
              <w:rPr>
                <w:color w:val="333333"/>
                <w:spacing w:val="-5"/>
              </w:rPr>
              <w:t>万字以上)</w:t>
            </w:r>
          </w:p>
        </w:tc>
        <w:tc>
          <w:tcPr>
            <w:tcW w:w="1991" w:type="dxa"/>
            <w:vAlign w:val="top"/>
          </w:tcPr>
          <w:p>
            <w:pPr>
              <w:pStyle w:val="TableText"/>
              <w:ind w:left="570"/>
              <w:spacing w:before="195" w:line="222" w:lineRule="auto"/>
              <w:rPr/>
            </w:pPr>
            <w:r>
              <w:rPr>
                <w:spacing w:val="-9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分/部</w:t>
            </w:r>
          </w:p>
        </w:tc>
        <w:tc>
          <w:tcPr>
            <w:tcW w:w="15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1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1214"/>
              <w:spacing w:before="40" w:line="208" w:lineRule="auto"/>
              <w:rPr/>
            </w:pPr>
            <w:r>
              <w:rPr>
                <w:spacing w:val="-3"/>
              </w:rPr>
              <w:t>其他学术性著作</w:t>
            </w:r>
          </w:p>
        </w:tc>
        <w:tc>
          <w:tcPr>
            <w:tcW w:w="1991" w:type="dxa"/>
            <w:vAlign w:val="top"/>
          </w:tcPr>
          <w:p>
            <w:pPr>
              <w:pStyle w:val="TableText"/>
              <w:ind w:left="614"/>
              <w:spacing w:before="40" w:line="208" w:lineRule="auto"/>
              <w:rPr/>
            </w:pPr>
            <w:r>
              <w:rPr>
                <w:spacing w:val="-8"/>
              </w:rPr>
              <w:t>6</w:t>
            </w:r>
            <w:r>
              <w:rPr>
                <w:spacing w:val="-40"/>
              </w:rPr>
              <w:t xml:space="preserve"> </w:t>
            </w:r>
            <w:r>
              <w:rPr>
                <w:spacing w:val="-8"/>
              </w:rPr>
              <w:t>分/部</w:t>
            </w:r>
          </w:p>
        </w:tc>
        <w:tc>
          <w:tcPr>
            <w:tcW w:w="15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28" w:right="733" w:firstLine="486"/>
        <w:spacing w:before="85" w:line="26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注：以上出版的书籍均须有正式书刊号，以出版时间为准计算加分年</w:t>
      </w:r>
      <w:r>
        <w:rPr>
          <w:rFonts w:ascii="FangSong" w:hAnsi="FangSong" w:eastAsia="FangSong" w:cs="FangSong"/>
          <w:sz w:val="24"/>
          <w:szCs w:val="24"/>
          <w:color w:val="333333"/>
          <w:spacing w:val="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度。</w:t>
      </w:r>
    </w:p>
    <w:p>
      <w:pPr>
        <w:spacing w:line="263" w:lineRule="auto"/>
        <w:sectPr>
          <w:footerReference w:type="default" r:id="rId8"/>
          <w:pgSz w:w="11906" w:h="16839"/>
          <w:pgMar w:top="1420" w:right="1785" w:bottom="1362" w:left="1687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626"/>
        <w:spacing w:before="94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【优秀成果奖】</w:t>
      </w:r>
    </w:p>
    <w:p>
      <w:pPr>
        <w:spacing w:line="206" w:lineRule="exact"/>
        <w:rPr/>
      </w:pPr>
      <w:r/>
    </w:p>
    <w:tbl>
      <w:tblPr>
        <w:tblStyle w:val="TableNormal"/>
        <w:tblW w:w="7537" w:type="dxa"/>
        <w:tblInd w:w="8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507"/>
        <w:gridCol w:w="1863"/>
        <w:gridCol w:w="3167"/>
      </w:tblGrid>
      <w:tr>
        <w:trPr>
          <w:trHeight w:val="321" w:hRule="atLeast"/>
        </w:trPr>
        <w:tc>
          <w:tcPr>
            <w:tcW w:w="2507" w:type="dxa"/>
            <w:vAlign w:val="top"/>
          </w:tcPr>
          <w:p>
            <w:pPr>
              <w:pStyle w:val="TableText"/>
              <w:ind w:left="1031"/>
              <w:spacing w:before="41" w:line="207" w:lineRule="auto"/>
              <w:rPr/>
            </w:pPr>
            <w:r>
              <w:rPr>
                <w:spacing w:val="-10"/>
              </w:rPr>
              <w:t>级别</w:t>
            </w:r>
          </w:p>
        </w:tc>
        <w:tc>
          <w:tcPr>
            <w:tcW w:w="5030" w:type="dxa"/>
            <w:vAlign w:val="top"/>
            <w:gridSpan w:val="2"/>
          </w:tcPr>
          <w:p>
            <w:pPr>
              <w:pStyle w:val="TableText"/>
              <w:ind w:left="2286"/>
              <w:spacing w:before="41" w:line="207" w:lineRule="auto"/>
              <w:rPr/>
            </w:pPr>
            <w:r>
              <w:rPr>
                <w:spacing w:val="-8"/>
              </w:rPr>
              <w:t>加分</w:t>
            </w:r>
          </w:p>
        </w:tc>
      </w:tr>
      <w:tr>
        <w:trPr>
          <w:trHeight w:val="573" w:hRule="atLeast"/>
        </w:trPr>
        <w:tc>
          <w:tcPr>
            <w:tcW w:w="2507" w:type="dxa"/>
            <w:vAlign w:val="top"/>
          </w:tcPr>
          <w:p>
            <w:pPr>
              <w:pStyle w:val="TableText"/>
              <w:ind w:left="936"/>
              <w:spacing w:before="166" w:line="223" w:lineRule="auto"/>
              <w:rPr/>
            </w:pPr>
            <w:r>
              <w:rPr>
                <w:spacing w:val="-15"/>
              </w:rPr>
              <w:t>国家级</w:t>
            </w:r>
          </w:p>
        </w:tc>
        <w:tc>
          <w:tcPr>
            <w:tcW w:w="1863" w:type="dxa"/>
            <w:vAlign w:val="top"/>
          </w:tcPr>
          <w:p>
            <w:pPr>
              <w:pStyle w:val="TableText"/>
              <w:ind w:left="504"/>
              <w:spacing w:before="166" w:line="224" w:lineRule="auto"/>
              <w:rPr/>
            </w:pPr>
            <w:r>
              <w:rPr>
                <w:spacing w:val="-9"/>
              </w:rPr>
              <w:t>16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分/项</w:t>
            </w:r>
          </w:p>
        </w:tc>
        <w:tc>
          <w:tcPr>
            <w:tcW w:w="316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16"/>
              <w:spacing w:before="280" w:line="222" w:lineRule="auto"/>
              <w:rPr/>
            </w:pPr>
            <w:r>
              <w:rPr>
                <w:spacing w:val="-10"/>
              </w:rPr>
              <w:t>第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名：加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100%：</w:t>
            </w:r>
          </w:p>
          <w:p>
            <w:pPr>
              <w:pStyle w:val="TableText"/>
              <w:ind w:left="676"/>
              <w:spacing w:before="23" w:line="222" w:lineRule="auto"/>
              <w:rPr/>
            </w:pPr>
            <w:r>
              <w:rPr>
                <w:spacing w:val="-8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2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名：加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30%；</w:t>
            </w:r>
          </w:p>
          <w:p>
            <w:pPr>
              <w:pStyle w:val="TableText"/>
              <w:ind w:left="676" w:right="651"/>
              <w:spacing w:before="23" w:line="231" w:lineRule="auto"/>
              <w:rPr/>
            </w:pPr>
            <w:r>
              <w:rPr>
                <w:spacing w:val="-10"/>
              </w:rPr>
              <w:t>第</w:t>
            </w:r>
            <w:r>
              <w:rPr>
                <w:spacing w:val="-41"/>
              </w:rPr>
              <w:t xml:space="preserve"> </w:t>
            </w:r>
            <w:r>
              <w:rPr>
                <w:spacing w:val="-10"/>
              </w:rPr>
              <w:t>3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名：加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10%；</w:t>
            </w:r>
            <w:r>
              <w:rPr/>
              <w:t xml:space="preserve"> </w:t>
            </w:r>
            <w:r>
              <w:rPr>
                <w:spacing w:val="-8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4、5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名：加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5%</w:t>
            </w:r>
          </w:p>
        </w:tc>
      </w:tr>
      <w:tr>
        <w:trPr>
          <w:trHeight w:val="574" w:hRule="atLeast"/>
        </w:trPr>
        <w:tc>
          <w:tcPr>
            <w:tcW w:w="2507" w:type="dxa"/>
            <w:vAlign w:val="top"/>
          </w:tcPr>
          <w:p>
            <w:pPr>
              <w:pStyle w:val="TableText"/>
              <w:ind w:left="1030"/>
              <w:spacing w:before="169" w:line="223" w:lineRule="auto"/>
              <w:rPr/>
            </w:pPr>
            <w:r>
              <w:rPr>
                <w:spacing w:val="-9"/>
              </w:rPr>
              <w:t>省级</w:t>
            </w:r>
          </w:p>
        </w:tc>
        <w:tc>
          <w:tcPr>
            <w:tcW w:w="1863" w:type="dxa"/>
            <w:vAlign w:val="top"/>
          </w:tcPr>
          <w:p>
            <w:pPr>
              <w:pStyle w:val="TableText"/>
              <w:ind w:left="504"/>
              <w:spacing w:before="169" w:line="224" w:lineRule="auto"/>
              <w:rPr/>
            </w:pPr>
            <w:r>
              <w:rPr>
                <w:spacing w:val="-9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分/项</w:t>
            </w:r>
          </w:p>
        </w:tc>
        <w:tc>
          <w:tcPr>
            <w:tcW w:w="31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8" w:hRule="atLeast"/>
        </w:trPr>
        <w:tc>
          <w:tcPr>
            <w:tcW w:w="2507" w:type="dxa"/>
            <w:vAlign w:val="top"/>
          </w:tcPr>
          <w:p>
            <w:pPr>
              <w:pStyle w:val="TableText"/>
              <w:ind w:left="1028"/>
              <w:spacing w:before="168" w:line="222" w:lineRule="auto"/>
              <w:rPr/>
            </w:pPr>
            <w:r>
              <w:rPr>
                <w:spacing w:val="-8"/>
              </w:rPr>
              <w:t>校级</w:t>
            </w:r>
          </w:p>
        </w:tc>
        <w:tc>
          <w:tcPr>
            <w:tcW w:w="1863" w:type="dxa"/>
            <w:vAlign w:val="top"/>
          </w:tcPr>
          <w:p>
            <w:pPr>
              <w:pStyle w:val="TableText"/>
              <w:ind w:left="548"/>
              <w:spacing w:before="168" w:line="224" w:lineRule="auto"/>
              <w:rPr/>
            </w:pPr>
            <w:r>
              <w:rPr>
                <w:spacing w:val="-8"/>
              </w:rPr>
              <w:t>6</w:t>
            </w:r>
            <w:r>
              <w:rPr>
                <w:spacing w:val="-40"/>
              </w:rPr>
              <w:t xml:space="preserve"> </w:t>
            </w:r>
            <w:r>
              <w:rPr>
                <w:spacing w:val="-8"/>
              </w:rPr>
              <w:t>分/项</w:t>
            </w:r>
          </w:p>
        </w:tc>
        <w:tc>
          <w:tcPr>
            <w:tcW w:w="31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69" w:right="733" w:firstLine="476"/>
        <w:spacing w:before="313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注：优秀成果奖应由政府部门、机关单位、党团组织或国家一级行业</w:t>
      </w:r>
      <w:r>
        <w:rPr>
          <w:rFonts w:ascii="FangSong" w:hAnsi="FangSong" w:eastAsia="FangSong" w:cs="FangSong"/>
          <w:sz w:val="24"/>
          <w:szCs w:val="24"/>
          <w:color w:val="333333"/>
          <w:spacing w:val="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学会、协会颁发。</w:t>
      </w:r>
    </w:p>
    <w:p>
      <w:pPr>
        <w:pStyle w:val="BodyText"/>
        <w:spacing w:line="318" w:lineRule="auto"/>
        <w:rPr/>
      </w:pPr>
      <w:r/>
    </w:p>
    <w:p>
      <w:pPr>
        <w:ind w:left="626"/>
        <w:spacing w:before="78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【发明专利、品种权、行业标准】</w:t>
      </w:r>
    </w:p>
    <w:p>
      <w:pPr>
        <w:ind w:left="160" w:right="733" w:firstLine="481"/>
        <w:spacing w:before="72" w:line="26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*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发明专利、品种权。鉴于发明专利、品种权批准周期长的原因，根</w:t>
      </w:r>
      <w:r>
        <w:rPr>
          <w:rFonts w:ascii="FangSong" w:hAnsi="FangSong" w:eastAsia="FangSong" w:cs="FangSong"/>
          <w:sz w:val="24"/>
          <w:szCs w:val="24"/>
          <w:color w:val="333333"/>
          <w:spacing w:val="1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据审批阶段结果进行加分：收到初审合格通知书，加</w:t>
      </w:r>
      <w:r>
        <w:rPr>
          <w:rFonts w:ascii="FangSong" w:hAnsi="FangSong" w:eastAsia="FangSong" w:cs="FangSong"/>
          <w:sz w:val="24"/>
          <w:szCs w:val="24"/>
          <w:color w:val="333333"/>
          <w:spacing w:val="-36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2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分；收到实审通知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书，另加</w:t>
      </w:r>
      <w:r>
        <w:rPr>
          <w:rFonts w:ascii="FangSong" w:hAnsi="FangSong" w:eastAsia="FangSong" w:cs="FangSong"/>
          <w:sz w:val="24"/>
          <w:szCs w:val="24"/>
          <w:color w:val="333333"/>
          <w:spacing w:val="-32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分；收到最终授权通知书，另加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分。注：以上加分均要求当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年评优时间内进行，且需要提供所有阶段的通知书，如阶段通知书不在当</w:t>
      </w:r>
      <w:r>
        <w:rPr>
          <w:rFonts w:ascii="FangSong" w:hAnsi="FangSong" w:eastAsia="FangSong" w:cs="FangSong"/>
          <w:sz w:val="24"/>
          <w:szCs w:val="24"/>
          <w:color w:val="333333"/>
          <w:spacing w:val="1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年评优时间内，则不予加分。</w:t>
      </w:r>
    </w:p>
    <w:p>
      <w:pPr>
        <w:ind w:left="642"/>
        <w:spacing w:before="31" w:line="321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2"/>
          <w:position w:val="1"/>
        </w:rPr>
        <w:t>*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  <w:position w:val="1"/>
        </w:rPr>
        <w:t>已授权实用新型（外观设计）专利、软件著作权，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  <w:position w:val="1"/>
        </w:rPr>
        <w:t>1</w:t>
      </w:r>
      <w:r>
        <w:rPr>
          <w:rFonts w:ascii="Calibri" w:hAnsi="Calibri" w:eastAsia="Calibri" w:cs="Calibri"/>
          <w:sz w:val="24"/>
          <w:szCs w:val="24"/>
          <w:color w:val="333333"/>
          <w:spacing w:val="41"/>
          <w:w w:val="101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  <w:position w:val="1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  <w:position w:val="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  <w:position w:val="1"/>
        </w:rPr>
        <w:t>项。</w:t>
      </w:r>
    </w:p>
    <w:p>
      <w:pPr>
        <w:ind w:left="642"/>
        <w:spacing w:before="39" w:line="321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3"/>
          <w:position w:val="1"/>
        </w:rPr>
        <w:t>*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  <w:position w:val="1"/>
        </w:rPr>
        <w:t>发布国家标准，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  <w:position w:val="1"/>
        </w:rPr>
        <w:t>6</w:t>
      </w:r>
      <w:r>
        <w:rPr>
          <w:rFonts w:ascii="Calibri" w:hAnsi="Calibri" w:eastAsia="Calibri" w:cs="Calibri"/>
          <w:sz w:val="24"/>
          <w:szCs w:val="24"/>
          <w:color w:val="333333"/>
          <w:spacing w:val="40"/>
          <w:w w:val="101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  <w:position w:val="1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  <w:position w:val="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  <w:position w:val="1"/>
        </w:rPr>
        <w:t>项；发布其他标准，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  <w:position w:val="1"/>
        </w:rPr>
        <w:t>4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position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  <w:position w:val="1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  <w:position w:val="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  <w:position w:val="1"/>
        </w:rPr>
        <w:t>项。</w:t>
      </w:r>
    </w:p>
    <w:p>
      <w:pPr>
        <w:ind w:left="641"/>
        <w:spacing w:before="7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其中第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1</w:t>
      </w:r>
      <w:r>
        <w:rPr>
          <w:rFonts w:ascii="Calibri" w:hAnsi="Calibri" w:eastAsia="Calibri" w:cs="Calibri"/>
          <w:sz w:val="24"/>
          <w:szCs w:val="24"/>
          <w:color w:val="333333"/>
          <w:spacing w:val="2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名按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标准加分，第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2</w:t>
      </w:r>
      <w:r>
        <w:rPr>
          <w:rFonts w:ascii="Calibri" w:hAnsi="Calibri" w:eastAsia="Calibri" w:cs="Calibri"/>
          <w:sz w:val="24"/>
          <w:szCs w:val="24"/>
          <w:color w:val="333333"/>
          <w:spacing w:val="-1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名分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别按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60%</w:t>
      </w:r>
      <w:r>
        <w:rPr>
          <w:rFonts w:ascii="Calibri" w:hAnsi="Calibri" w:eastAsia="Calibri" w:cs="Calibri"/>
          <w:sz w:val="24"/>
          <w:szCs w:val="24"/>
          <w:color w:val="333333"/>
          <w:spacing w:val="-2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计算，第</w:t>
      </w:r>
    </w:p>
    <w:p>
      <w:pPr>
        <w:ind w:left="149"/>
        <w:spacing w:before="73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4</w:t>
      </w:r>
      <w:r>
        <w:rPr>
          <w:rFonts w:ascii="Calibri" w:hAnsi="Calibri" w:eastAsia="Calibri" w:cs="Calibri"/>
          <w:sz w:val="24"/>
          <w:szCs w:val="24"/>
          <w:color w:val="333333"/>
          <w:spacing w:val="-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5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名按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10%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标准加分。（上述排名不含老师）</w:t>
      </w:r>
    </w:p>
    <w:p>
      <w:pPr>
        <w:pStyle w:val="BodyText"/>
        <w:spacing w:line="351" w:lineRule="auto"/>
        <w:rPr/>
      </w:pPr>
      <w:r/>
    </w:p>
    <w:p>
      <w:pPr>
        <w:ind w:left="626"/>
        <w:spacing w:before="7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【学术会议参与分】</w:t>
      </w:r>
    </w:p>
    <w:p>
      <w:pPr>
        <w:spacing w:line="16" w:lineRule="exact"/>
        <w:rPr/>
      </w:pPr>
      <w:r/>
    </w:p>
    <w:tbl>
      <w:tblPr>
        <w:tblStyle w:val="TableNormal"/>
        <w:tblW w:w="756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77"/>
        <w:gridCol w:w="1991"/>
        <w:gridCol w:w="1500"/>
      </w:tblGrid>
      <w:tr>
        <w:trPr>
          <w:trHeight w:val="321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1815"/>
              <w:spacing w:before="40" w:line="208" w:lineRule="auto"/>
              <w:rPr/>
            </w:pPr>
            <w:r>
              <w:rPr>
                <w:color w:val="333333"/>
                <w:spacing w:val="-10"/>
              </w:rPr>
              <w:t>类别</w:t>
            </w:r>
          </w:p>
        </w:tc>
        <w:tc>
          <w:tcPr>
            <w:tcW w:w="3491" w:type="dxa"/>
            <w:vAlign w:val="top"/>
            <w:gridSpan w:val="2"/>
          </w:tcPr>
          <w:p>
            <w:pPr>
              <w:pStyle w:val="TableText"/>
              <w:ind w:left="1517"/>
              <w:spacing w:before="40" w:line="208" w:lineRule="auto"/>
              <w:rPr/>
            </w:pPr>
            <w:r>
              <w:rPr>
                <w:spacing w:val="-8"/>
              </w:rPr>
              <w:t>加分</w:t>
            </w:r>
          </w:p>
        </w:tc>
      </w:tr>
      <w:tr>
        <w:trPr>
          <w:trHeight w:val="950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1102" w:right="114" w:hanging="968"/>
              <w:spacing w:before="199" w:line="230" w:lineRule="auto"/>
              <w:rPr/>
            </w:pPr>
            <w:r>
              <w:rPr>
                <w:color w:val="333333"/>
                <w:spacing w:val="-2"/>
              </w:rPr>
              <w:t>在由省级以上政府部门或学会举办的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  <w:spacing w:val="-4"/>
              </w:rPr>
              <w:t>学术会议上作报告</w:t>
            </w:r>
          </w:p>
        </w:tc>
        <w:tc>
          <w:tcPr>
            <w:tcW w:w="19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2"/>
              <w:spacing w:before="78" w:line="223" w:lineRule="auto"/>
              <w:rPr/>
            </w:pPr>
            <w:r>
              <w:rPr>
                <w:spacing w:val="-5"/>
              </w:rPr>
              <w:t>0.5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分/次</w:t>
            </w:r>
          </w:p>
        </w:tc>
        <w:tc>
          <w:tcPr>
            <w:tcW w:w="1500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 w:right="147" w:hanging="14"/>
              <w:spacing w:before="78" w:line="231" w:lineRule="auto"/>
              <w:rPr/>
            </w:pPr>
            <w:r>
              <w:rPr>
                <w:spacing w:val="-4"/>
              </w:rPr>
              <w:t>加分最高不</w:t>
            </w:r>
            <w:r>
              <w:rPr>
                <w:spacing w:val="3"/>
              </w:rPr>
              <w:t xml:space="preserve"> </w:t>
            </w:r>
            <w:r>
              <w:rPr>
                <w:spacing w:val="-15"/>
              </w:rPr>
              <w:t>能超过</w:t>
            </w:r>
            <w:r>
              <w:rPr>
                <w:spacing w:val="-34"/>
              </w:rPr>
              <w:t xml:space="preserve"> </w:t>
            </w:r>
            <w:r>
              <w:rPr>
                <w:spacing w:val="-15"/>
              </w:rPr>
              <w:t>1</w:t>
            </w:r>
            <w:r>
              <w:rPr>
                <w:spacing w:val="-42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</w:tr>
      <w:tr>
        <w:trPr>
          <w:trHeight w:val="316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374"/>
              <w:spacing w:before="38" w:line="206" w:lineRule="auto"/>
              <w:rPr/>
            </w:pPr>
            <w:r>
              <w:rPr>
                <w:color w:val="333333"/>
                <w:spacing w:val="-2"/>
              </w:rPr>
              <w:t>在其他校内外学术会议上作报告</w:t>
            </w:r>
          </w:p>
        </w:tc>
        <w:tc>
          <w:tcPr>
            <w:tcW w:w="1991" w:type="dxa"/>
            <w:vAlign w:val="top"/>
          </w:tcPr>
          <w:p>
            <w:pPr>
              <w:pStyle w:val="TableText"/>
              <w:ind w:left="492"/>
              <w:spacing w:before="38" w:line="206" w:lineRule="auto"/>
              <w:rPr/>
            </w:pPr>
            <w:r>
              <w:rPr>
                <w:spacing w:val="-5"/>
              </w:rPr>
              <w:t>0.3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分/次</w:t>
            </w:r>
          </w:p>
        </w:tc>
        <w:tc>
          <w:tcPr>
            <w:tcW w:w="15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736"/>
              <w:spacing w:before="39" w:line="205" w:lineRule="auto"/>
              <w:rPr/>
            </w:pPr>
            <w:r>
              <w:rPr>
                <w:color w:val="333333"/>
                <w:spacing w:val="-2"/>
              </w:rPr>
              <w:t>参加校院主办的学术讲座</w:t>
            </w:r>
          </w:p>
        </w:tc>
        <w:tc>
          <w:tcPr>
            <w:tcW w:w="1991" w:type="dxa"/>
            <w:vAlign w:val="top"/>
          </w:tcPr>
          <w:p>
            <w:pPr>
              <w:pStyle w:val="TableText"/>
              <w:ind w:left="492"/>
              <w:spacing w:before="39" w:line="205" w:lineRule="auto"/>
              <w:rPr/>
            </w:pPr>
            <w:r>
              <w:rPr>
                <w:spacing w:val="-5"/>
              </w:rPr>
              <w:t>0.2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分/次</w:t>
            </w:r>
          </w:p>
        </w:tc>
        <w:tc>
          <w:tcPr>
            <w:tcW w:w="15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6" w:hRule="atLeast"/>
        </w:trPr>
        <w:tc>
          <w:tcPr>
            <w:tcW w:w="4077" w:type="dxa"/>
            <w:vAlign w:val="top"/>
          </w:tcPr>
          <w:p>
            <w:pPr>
              <w:pStyle w:val="TableText"/>
              <w:ind w:left="132"/>
              <w:spacing w:before="40" w:line="219" w:lineRule="auto"/>
              <w:rPr/>
            </w:pPr>
            <w:r>
              <w:rPr>
                <w:color w:val="333333"/>
                <w:spacing w:val="-1"/>
              </w:rPr>
              <w:t>针对在外联合培养的（联合培养指研</w:t>
            </w:r>
          </w:p>
          <w:p>
            <w:pPr>
              <w:pStyle w:val="TableText"/>
              <w:ind w:left="146"/>
              <w:spacing w:before="26" w:line="221" w:lineRule="auto"/>
              <w:rPr/>
            </w:pPr>
            <w:r>
              <w:rPr>
                <w:color w:val="333333"/>
                <w:spacing w:val="-2"/>
              </w:rPr>
              <w:t>究生已签订国内业务出差联合培养计</w:t>
            </w:r>
          </w:p>
          <w:p>
            <w:pPr>
              <w:pStyle w:val="TableText"/>
              <w:ind w:left="135"/>
              <w:spacing w:before="25" w:line="219" w:lineRule="auto"/>
              <w:rPr/>
            </w:pPr>
            <w:r>
              <w:rPr>
                <w:color w:val="333333"/>
                <w:spacing w:val="-3"/>
              </w:rPr>
              <w:t>划登记表</w:t>
            </w:r>
            <w:r>
              <w:rPr>
                <w:color w:val="333333"/>
                <w:spacing w:val="11"/>
              </w:rPr>
              <w:t>），</w:t>
            </w:r>
            <w:r>
              <w:rPr>
                <w:color w:val="333333"/>
                <w:spacing w:val="-3"/>
              </w:rPr>
              <w:t>参加所在联合培养单位</w:t>
            </w:r>
          </w:p>
          <w:p>
            <w:pPr>
              <w:pStyle w:val="TableText"/>
              <w:ind w:left="1463"/>
              <w:spacing w:before="26" w:line="208" w:lineRule="auto"/>
              <w:rPr/>
            </w:pPr>
            <w:r>
              <w:rPr>
                <w:color w:val="333333"/>
                <w:spacing w:val="-6"/>
              </w:rPr>
              <w:t>学术讲座的</w:t>
            </w:r>
          </w:p>
        </w:tc>
        <w:tc>
          <w:tcPr>
            <w:tcW w:w="199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9" w:right="152" w:hanging="725"/>
              <w:spacing w:before="78" w:line="232" w:lineRule="auto"/>
              <w:rPr/>
            </w:pPr>
            <w:r>
              <w:rPr>
                <w:spacing w:val="-5"/>
              </w:rPr>
              <w:t>0.2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分/次，限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</w:t>
            </w:r>
            <w:r>
              <w:rPr/>
              <w:t xml:space="preserve"> </w:t>
            </w:r>
            <w:r>
              <w:rPr/>
              <w:t>次</w:t>
            </w:r>
          </w:p>
        </w:tc>
        <w:tc>
          <w:tcPr>
            <w:tcW w:w="15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65" w:right="694" w:firstLine="480"/>
        <w:spacing w:before="107" w:line="266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注：作报告应提供盖有公章的证明和现场报告图片等相关佐证材料，</w:t>
      </w:r>
      <w:r>
        <w:rPr>
          <w:rFonts w:ascii="FangSong" w:hAnsi="FangSong" w:eastAsia="FangSong" w:cs="FangSong"/>
          <w:sz w:val="24"/>
          <w:szCs w:val="24"/>
          <w:color w:val="333333"/>
          <w:spacing w:val="1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学术讲座须提供盖有校院及联合培养单位公章的签到表或证明，或提供官</w:t>
      </w:r>
      <w:r>
        <w:rPr>
          <w:rFonts w:ascii="FangSong" w:hAnsi="FangSong" w:eastAsia="FangSong" w:cs="FangSong"/>
          <w:sz w:val="24"/>
          <w:szCs w:val="24"/>
          <w:color w:val="333333"/>
          <w:spacing w:val="1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方认定的相关材料，联合培养研究生需提供联合培养计划登记表。</w:t>
      </w:r>
    </w:p>
    <w:p>
      <w:pPr>
        <w:pStyle w:val="BodyText"/>
        <w:spacing w:line="321" w:lineRule="auto"/>
        <w:rPr/>
      </w:pPr>
      <w:r/>
    </w:p>
    <w:p>
      <w:pPr>
        <w:ind w:left="626"/>
        <w:spacing w:before="7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【学术会议获奖】</w:t>
      </w:r>
    </w:p>
    <w:p>
      <w:pPr>
        <w:spacing w:line="43" w:lineRule="exact"/>
        <w:rPr/>
      </w:pPr>
      <w:r/>
    </w:p>
    <w:tbl>
      <w:tblPr>
        <w:tblStyle w:val="TableNormal"/>
        <w:tblW w:w="7585" w:type="dxa"/>
        <w:tblInd w:w="17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70"/>
        <w:gridCol w:w="2067"/>
        <w:gridCol w:w="1520"/>
        <w:gridCol w:w="2028"/>
      </w:tblGrid>
      <w:tr>
        <w:trPr>
          <w:trHeight w:val="319" w:hRule="atLeast"/>
        </w:trPr>
        <w:tc>
          <w:tcPr>
            <w:tcW w:w="1970" w:type="dxa"/>
            <w:vAlign w:val="top"/>
            <w:tcBorders>
              <w:bottom w:val="nil"/>
            </w:tcBorders>
          </w:tcPr>
          <w:p>
            <w:pPr>
              <w:pStyle w:val="TableText"/>
              <w:ind w:left="762"/>
              <w:spacing w:before="42" w:line="205" w:lineRule="auto"/>
              <w:rPr/>
            </w:pPr>
            <w:r>
              <w:rPr>
                <w:color w:val="333333"/>
                <w:spacing w:val="-10"/>
              </w:rPr>
              <w:t>级别</w:t>
            </w:r>
          </w:p>
        </w:tc>
        <w:tc>
          <w:tcPr>
            <w:tcW w:w="2067" w:type="dxa"/>
            <w:vAlign w:val="top"/>
          </w:tcPr>
          <w:p>
            <w:pPr>
              <w:pStyle w:val="TableText"/>
              <w:ind w:left="816"/>
              <w:spacing w:before="42" w:line="205" w:lineRule="auto"/>
              <w:rPr/>
            </w:pPr>
            <w:r>
              <w:rPr>
                <w:spacing w:val="-13"/>
              </w:rPr>
              <w:t>等级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177"/>
              <w:spacing w:before="42" w:line="205" w:lineRule="auto"/>
              <w:rPr/>
            </w:pPr>
            <w:r>
              <w:rPr>
                <w:spacing w:val="-4"/>
              </w:rPr>
              <w:t>作报告（提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188"/>
              <w:spacing w:before="42" w:line="205" w:lineRule="auto"/>
              <w:rPr/>
            </w:pPr>
            <w:r>
              <w:rPr>
                <w:spacing w:val="-3"/>
              </w:rPr>
              <w:t>提交海报获奖加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"/>
          <w:pgSz w:w="11906" w:h="16839"/>
          <w:pgMar w:top="1431" w:right="1785" w:bottom="1362" w:left="1656" w:header="0" w:footer="1200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585" w:type="dxa"/>
        <w:tblInd w:w="4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70"/>
        <w:gridCol w:w="2067"/>
        <w:gridCol w:w="1520"/>
        <w:gridCol w:w="2028"/>
      </w:tblGrid>
      <w:tr>
        <w:trPr>
          <w:trHeight w:val="945" w:hRule="atLeast"/>
        </w:trPr>
        <w:tc>
          <w:tcPr>
            <w:tcW w:w="19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</w:tcPr>
          <w:p>
            <w:pPr>
              <w:pStyle w:val="TableText"/>
              <w:ind w:left="299"/>
              <w:spacing w:before="42" w:line="222" w:lineRule="auto"/>
              <w:rPr/>
            </w:pPr>
            <w:r>
              <w:rPr>
                <w:spacing w:val="-6"/>
              </w:rPr>
              <w:t>交学术论</w:t>
            </w:r>
          </w:p>
          <w:p>
            <w:pPr>
              <w:pStyle w:val="TableText"/>
              <w:ind w:left="173"/>
              <w:spacing w:before="23" w:line="222" w:lineRule="auto"/>
              <w:rPr/>
            </w:pPr>
            <w:r>
              <w:rPr>
                <w:spacing w:val="-4"/>
              </w:rPr>
              <w:t>文）获奖加</w:t>
            </w:r>
          </w:p>
          <w:p>
            <w:pPr>
              <w:pStyle w:val="TableText"/>
              <w:ind w:left="656"/>
              <w:spacing w:before="23" w:line="207" w:lineRule="auto"/>
              <w:rPr/>
            </w:pPr>
            <w:r>
              <w:rPr/>
              <w:t>分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909"/>
              <w:spacing w:before="41" w:line="224" w:lineRule="auto"/>
              <w:rPr/>
            </w:pPr>
            <w:r>
              <w:rPr/>
              <w:t>分</w:t>
            </w:r>
          </w:p>
        </w:tc>
      </w:tr>
      <w:tr>
        <w:trPr>
          <w:trHeight w:val="316" w:hRule="atLeast"/>
        </w:trPr>
        <w:tc>
          <w:tcPr>
            <w:tcW w:w="1970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1" w:right="141" w:hanging="335"/>
              <w:spacing w:before="78" w:line="231" w:lineRule="auto"/>
              <w:rPr/>
            </w:pPr>
            <w:r>
              <w:rPr>
                <w:color w:val="333333"/>
                <w:spacing w:val="-7"/>
              </w:rPr>
              <w:t>国家级（国际级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  <w:spacing w:val="-5"/>
              </w:rPr>
              <w:t>别）奖励</w:t>
            </w:r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1"/>
              <w:spacing w:before="36" w:line="207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710"/>
              <w:spacing w:before="78" w:line="175" w:lineRule="auto"/>
              <w:rPr/>
            </w:pPr>
            <w:r>
              <w:rPr/>
              <w:t>3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57"/>
              <w:spacing w:before="78" w:line="175" w:lineRule="auto"/>
              <w:rPr/>
            </w:pPr>
            <w:r>
              <w:rPr>
                <w:spacing w:val="-9"/>
              </w:rPr>
              <w:t>1.5</w:t>
            </w:r>
          </w:p>
        </w:tc>
      </w:tr>
      <w:tr>
        <w:trPr>
          <w:trHeight w:val="316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5"/>
              <w:spacing w:before="38" w:line="206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588"/>
              <w:spacing w:before="79" w:line="174" w:lineRule="auto"/>
              <w:rPr/>
            </w:pPr>
            <w:r>
              <w:rPr>
                <w:spacing w:val="-4"/>
              </w:rPr>
              <w:t>2.5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797"/>
              <w:spacing w:before="78" w:line="175" w:lineRule="auto"/>
              <w:rPr/>
            </w:pPr>
            <w:r>
              <w:rPr>
                <w:spacing w:val="-7"/>
              </w:rPr>
              <w:t>1.25</w:t>
            </w:r>
          </w:p>
        </w:tc>
      </w:tr>
      <w:tr>
        <w:trPr>
          <w:trHeight w:val="316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4"/>
              <w:spacing w:before="38" w:line="206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588"/>
              <w:spacing w:before="79" w:line="174" w:lineRule="auto"/>
              <w:rPr/>
            </w:pPr>
            <w:r>
              <w:rPr>
                <w:spacing w:val="-4"/>
              </w:rPr>
              <w:t>2.2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57"/>
              <w:spacing w:before="79" w:line="174" w:lineRule="auto"/>
              <w:rPr/>
            </w:pPr>
            <w:r>
              <w:rPr>
                <w:spacing w:val="-9"/>
              </w:rPr>
              <w:t>1.1</w:t>
            </w:r>
          </w:p>
        </w:tc>
      </w:tr>
      <w:tr>
        <w:trPr>
          <w:trHeight w:val="316" w:hRule="atLeast"/>
        </w:trPr>
        <w:tc>
          <w:tcPr>
            <w:tcW w:w="19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573"/>
              <w:spacing w:before="42" w:line="203" w:lineRule="auto"/>
              <w:rPr/>
            </w:pPr>
            <w:r>
              <w:rPr>
                <w:spacing w:val="-6"/>
              </w:rPr>
              <w:t>不设等级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603"/>
              <w:spacing w:before="82" w:line="172" w:lineRule="auto"/>
              <w:rPr/>
            </w:pPr>
            <w:r>
              <w:rPr>
                <w:spacing w:val="-9"/>
              </w:rPr>
              <w:t>1.5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781"/>
              <w:spacing w:before="83" w:line="171" w:lineRule="auto"/>
              <w:rPr/>
            </w:pPr>
            <w:r>
              <w:rPr>
                <w:spacing w:val="-3"/>
              </w:rPr>
              <w:t>0.75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restart"/>
            <w:tcBorders>
              <w:bottom w:val="nil"/>
            </w:tcBorders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1"/>
              <w:spacing w:before="78" w:line="222" w:lineRule="auto"/>
              <w:rPr/>
            </w:pPr>
            <w:r>
              <w:rPr>
                <w:color w:val="333333"/>
                <w:spacing w:val="-3"/>
              </w:rPr>
              <w:t>省（部）级奖励</w:t>
            </w:r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1"/>
              <w:spacing w:before="41" w:line="204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708"/>
              <w:spacing w:before="83" w:line="172" w:lineRule="auto"/>
              <w:rPr/>
            </w:pPr>
            <w:r>
              <w:rPr/>
              <w:t>2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977"/>
              <w:spacing w:before="83" w:line="172" w:lineRule="auto"/>
              <w:rPr/>
            </w:pPr>
            <w:r>
              <w:rPr/>
              <w:t>1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5"/>
              <w:spacing w:before="41" w:line="204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603"/>
              <w:spacing w:before="82" w:line="173" w:lineRule="auto"/>
              <w:rPr/>
            </w:pPr>
            <w:r>
              <w:rPr>
                <w:spacing w:val="-9"/>
              </w:rPr>
              <w:t>1.8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41"/>
              <w:spacing w:before="83" w:line="172" w:lineRule="auto"/>
              <w:rPr/>
            </w:pPr>
            <w:r>
              <w:rPr>
                <w:spacing w:val="-4"/>
              </w:rPr>
              <w:t>0.9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4"/>
              <w:spacing w:before="41" w:line="204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603"/>
              <w:spacing w:before="82" w:line="173" w:lineRule="auto"/>
              <w:rPr/>
            </w:pPr>
            <w:r>
              <w:rPr>
                <w:spacing w:val="-9"/>
              </w:rPr>
              <w:t>1.6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41"/>
              <w:spacing w:before="83" w:line="172" w:lineRule="auto"/>
              <w:rPr/>
            </w:pPr>
            <w:r>
              <w:rPr>
                <w:spacing w:val="-4"/>
              </w:rPr>
              <w:t>0.8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573"/>
              <w:spacing w:before="40" w:line="205" w:lineRule="auto"/>
              <w:rPr/>
            </w:pPr>
            <w:r>
              <w:rPr>
                <w:spacing w:val="-6"/>
              </w:rPr>
              <w:t>不设等级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723"/>
              <w:spacing w:before="82" w:line="173" w:lineRule="auto"/>
              <w:rPr/>
            </w:pPr>
            <w:r>
              <w:rPr/>
              <w:t>1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41"/>
              <w:spacing w:before="82" w:line="173" w:lineRule="auto"/>
              <w:rPr/>
            </w:pPr>
            <w:r>
              <w:rPr>
                <w:spacing w:val="-4"/>
              </w:rPr>
              <w:t>0.5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59" w:right="141" w:firstLine="6"/>
              <w:spacing w:before="213" w:line="234" w:lineRule="auto"/>
              <w:rPr/>
            </w:pPr>
            <w:r>
              <w:rPr>
                <w:color w:val="333333"/>
                <w:spacing w:val="-4"/>
              </w:rPr>
              <w:t>市级、校级（含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  <w:spacing w:val="-3"/>
              </w:rPr>
              <w:t>校级机关部处、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  <w:spacing w:val="-3"/>
              </w:rPr>
              <w:t>党团组织）奖励</w:t>
            </w:r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1"/>
              <w:spacing w:before="40" w:line="205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603"/>
              <w:spacing w:before="80" w:line="174" w:lineRule="auto"/>
              <w:rPr/>
            </w:pPr>
            <w:r>
              <w:rPr>
                <w:spacing w:val="-9"/>
              </w:rPr>
              <w:t>1.5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781"/>
              <w:spacing w:before="82" w:line="173" w:lineRule="auto"/>
              <w:rPr/>
            </w:pPr>
            <w:r>
              <w:rPr>
                <w:spacing w:val="-3"/>
              </w:rPr>
              <w:t>0.75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5"/>
              <w:spacing w:before="43" w:line="203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603"/>
              <w:spacing w:before="83" w:line="172" w:lineRule="auto"/>
              <w:rPr/>
            </w:pPr>
            <w:r>
              <w:rPr>
                <w:spacing w:val="-9"/>
              </w:rPr>
              <w:t>1.3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781"/>
              <w:spacing w:before="84" w:line="171" w:lineRule="auto"/>
              <w:rPr/>
            </w:pPr>
            <w:r>
              <w:rPr>
                <w:spacing w:val="-3"/>
              </w:rPr>
              <w:t>0.65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4"/>
              <w:spacing w:before="41" w:line="204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603"/>
              <w:spacing w:before="83" w:line="172" w:lineRule="auto"/>
              <w:rPr/>
            </w:pPr>
            <w:r>
              <w:rPr>
                <w:spacing w:val="-9"/>
              </w:rPr>
              <w:t>1.1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781"/>
              <w:spacing w:before="83" w:line="172" w:lineRule="auto"/>
              <w:rPr/>
            </w:pPr>
            <w:r>
              <w:rPr>
                <w:spacing w:val="-3"/>
              </w:rPr>
              <w:t>0.55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573"/>
              <w:spacing w:before="41" w:line="204" w:lineRule="auto"/>
              <w:rPr/>
            </w:pPr>
            <w:r>
              <w:rPr>
                <w:spacing w:val="-6"/>
              </w:rPr>
              <w:t>不设等级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587"/>
              <w:spacing w:before="83" w:line="172" w:lineRule="auto"/>
              <w:rPr/>
            </w:pPr>
            <w:r>
              <w:rPr>
                <w:spacing w:val="-4"/>
              </w:rPr>
              <w:t>0.8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41"/>
              <w:spacing w:before="83" w:line="172" w:lineRule="auto"/>
              <w:rPr/>
            </w:pPr>
            <w:r>
              <w:rPr>
                <w:spacing w:val="-4"/>
              </w:rPr>
              <w:t>0.4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restart"/>
            <w:tcBorders>
              <w:bottom w:val="nil"/>
            </w:tcBorders>
          </w:tcPr>
          <w:p>
            <w:pPr>
              <w:spacing w:line="4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3"/>
              <w:spacing w:before="78" w:line="222" w:lineRule="auto"/>
              <w:rPr/>
            </w:pPr>
            <w:r>
              <w:rPr>
                <w:color w:val="333333"/>
                <w:spacing w:val="-8"/>
              </w:rPr>
              <w:t>院级奖励</w:t>
            </w:r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1"/>
              <w:spacing w:before="41" w:line="204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723"/>
              <w:spacing w:before="82" w:line="173" w:lineRule="auto"/>
              <w:rPr/>
            </w:pPr>
            <w:r>
              <w:rPr/>
              <w:t>1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41"/>
              <w:spacing w:before="83" w:line="172" w:lineRule="auto"/>
              <w:rPr/>
            </w:pPr>
            <w:r>
              <w:rPr>
                <w:spacing w:val="-4"/>
              </w:rPr>
              <w:t>0.5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5"/>
              <w:spacing w:before="40" w:line="205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587"/>
              <w:spacing w:before="82" w:line="173" w:lineRule="auto"/>
              <w:rPr/>
            </w:pPr>
            <w:r>
              <w:rPr>
                <w:spacing w:val="-4"/>
              </w:rPr>
              <w:t>0.8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41"/>
              <w:spacing w:before="82" w:line="173" w:lineRule="auto"/>
              <w:rPr/>
            </w:pPr>
            <w:r>
              <w:rPr>
                <w:spacing w:val="-4"/>
              </w:rPr>
              <w:t>0.4</w:t>
            </w:r>
          </w:p>
        </w:tc>
      </w:tr>
      <w:tr>
        <w:trPr>
          <w:trHeight w:val="317" w:hRule="atLeast"/>
        </w:trPr>
        <w:tc>
          <w:tcPr>
            <w:tcW w:w="19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694"/>
              <w:spacing w:before="40" w:line="205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587"/>
              <w:spacing w:before="82" w:line="173" w:lineRule="auto"/>
              <w:rPr/>
            </w:pPr>
            <w:r>
              <w:rPr>
                <w:spacing w:val="-4"/>
              </w:rPr>
              <w:t>0.5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781"/>
              <w:spacing w:before="82" w:line="173" w:lineRule="auto"/>
              <w:rPr/>
            </w:pPr>
            <w:r>
              <w:rPr>
                <w:spacing w:val="-3"/>
              </w:rPr>
              <w:t>0.25</w:t>
            </w:r>
          </w:p>
        </w:tc>
      </w:tr>
      <w:tr>
        <w:trPr>
          <w:trHeight w:val="321" w:hRule="atLeast"/>
        </w:trPr>
        <w:tc>
          <w:tcPr>
            <w:tcW w:w="19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7" w:type="dxa"/>
            <w:vAlign w:val="top"/>
          </w:tcPr>
          <w:p>
            <w:pPr>
              <w:pStyle w:val="TableText"/>
              <w:ind w:left="453"/>
              <w:spacing w:before="43" w:line="206" w:lineRule="auto"/>
              <w:rPr/>
            </w:pPr>
            <w:r>
              <w:rPr>
                <w:spacing w:val="-5"/>
              </w:rPr>
              <w:t>不设等级的</w:t>
            </w:r>
          </w:p>
        </w:tc>
        <w:tc>
          <w:tcPr>
            <w:tcW w:w="1520" w:type="dxa"/>
            <w:vAlign w:val="top"/>
          </w:tcPr>
          <w:p>
            <w:pPr>
              <w:pStyle w:val="TableText"/>
              <w:ind w:left="587"/>
              <w:spacing w:before="84" w:line="174" w:lineRule="auto"/>
              <w:rPr/>
            </w:pPr>
            <w:r>
              <w:rPr>
                <w:spacing w:val="-4"/>
              </w:rPr>
              <w:t>0.4</w:t>
            </w:r>
          </w:p>
        </w:tc>
        <w:tc>
          <w:tcPr>
            <w:tcW w:w="2028" w:type="dxa"/>
            <w:vAlign w:val="top"/>
          </w:tcPr>
          <w:p>
            <w:pPr>
              <w:pStyle w:val="TableText"/>
              <w:ind w:left="841"/>
              <w:spacing w:before="84" w:line="174" w:lineRule="auto"/>
              <w:rPr/>
            </w:pPr>
            <w:r>
              <w:rPr>
                <w:spacing w:val="-4"/>
              </w:rPr>
              <w:t>0.2</w:t>
            </w:r>
          </w:p>
        </w:tc>
      </w:tr>
    </w:tbl>
    <w:p>
      <w:pPr>
        <w:ind w:left="31" w:right="530" w:firstLine="484"/>
        <w:spacing w:before="101" w:line="27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注：以上各级奖励均应由政府部门、机关单位、党团组织，或国家一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级行业学会和协会颁发。具体级别根据所盖公章或者水印等进行综合认定。</w:t>
      </w:r>
      <w:r>
        <w:rPr>
          <w:rFonts w:ascii="FangSong" w:hAnsi="FangSong" w:eastAsia="FangSong" w:cs="FangSong"/>
          <w:sz w:val="24"/>
          <w:szCs w:val="24"/>
          <w:color w:val="333333"/>
          <w:spacing w:val="1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其中排名第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1</w:t>
      </w:r>
      <w:r>
        <w:rPr>
          <w:rFonts w:ascii="Calibri" w:hAnsi="Calibri" w:eastAsia="Calibri" w:cs="Calibri"/>
          <w:sz w:val="24"/>
          <w:szCs w:val="24"/>
          <w:color w:val="333333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名按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100%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标准加分，第</w:t>
      </w:r>
      <w:r>
        <w:rPr>
          <w:rFonts w:ascii="FangSong" w:hAnsi="FangSong" w:eastAsia="FangSong" w:cs="FangSong"/>
          <w:sz w:val="24"/>
          <w:szCs w:val="24"/>
          <w:color w:val="333333"/>
          <w:spacing w:val="-46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2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名分别按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30%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-7"/>
        </w:rPr>
        <w:t>%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标准加分，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第</w:t>
      </w:r>
      <w:r>
        <w:rPr>
          <w:rFonts w:ascii="FangSong" w:hAnsi="FangSong" w:eastAsia="FangSong" w:cs="FangSong"/>
          <w:sz w:val="24"/>
          <w:szCs w:val="24"/>
          <w:color w:val="333333"/>
          <w:spacing w:val="-54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4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、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5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名按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5%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标准加分。各类奖励的级别以所盖的公章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为准。以上各级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奖励均应提供盖有公章的证明。同一作品（项目、主题</w:t>
      </w:r>
      <w:r>
        <w:rPr>
          <w:rFonts w:ascii="FangSong" w:hAnsi="FangSong" w:eastAsia="FangSong" w:cs="FangSong"/>
          <w:sz w:val="24"/>
          <w:szCs w:val="24"/>
          <w:color w:val="333333"/>
          <w:spacing w:val="-27"/>
        </w:rPr>
        <w:t>）（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不管是否在同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一比赛）多次获奖，且获奖时间都发生在当年评优时间内，按最高获奖级</w:t>
      </w:r>
      <w:r>
        <w:rPr>
          <w:rFonts w:ascii="FangSong" w:hAnsi="FangSong" w:eastAsia="FangSong" w:cs="FangSong"/>
          <w:sz w:val="24"/>
          <w:szCs w:val="24"/>
          <w:color w:val="333333"/>
          <w:spacing w:val="7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别加分。同一学术会议中，获奖分和参与分只能选择加一项。</w:t>
      </w:r>
    </w:p>
    <w:p>
      <w:pPr>
        <w:pStyle w:val="BodyText"/>
        <w:spacing w:line="321" w:lineRule="auto"/>
        <w:rPr/>
      </w:pPr>
      <w:r/>
    </w:p>
    <w:p>
      <w:pPr>
        <w:ind w:left="32" w:right="736" w:firstLine="476"/>
        <w:spacing w:before="78" w:line="267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b/>
          <w:bCs/>
          <w:color w:val="333333"/>
          <w:spacing w:val="-6"/>
        </w:rPr>
        <w:t>**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6"/>
        </w:rPr>
        <w:t>特别说明：以上关于研究生老生的参评科研成果，必须以华南农业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2"/>
        </w:rPr>
        <w:t>大学为第一署名单位为华南农业大学。除条例中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3"/>
        </w:rPr>
        <w:t>说明，所有成果的排名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5"/>
        </w:rPr>
        <w:t>不分导师和学生。</w:t>
      </w:r>
    </w:p>
    <w:p>
      <w:pPr>
        <w:pStyle w:val="BodyText"/>
        <w:spacing w:line="317" w:lineRule="auto"/>
        <w:rPr/>
      </w:pPr>
      <w:r/>
    </w:p>
    <w:p>
      <w:pPr>
        <w:ind w:left="554"/>
        <w:spacing w:before="7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③思想道德与社会实践（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C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）</w:t>
      </w:r>
    </w:p>
    <w:p>
      <w:pPr>
        <w:ind w:left="30" w:right="733" w:firstLine="488"/>
        <w:spacing w:before="72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思想道德与社会实践满分为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20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分，其中自评分满分为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分，成果分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满分为</w:t>
      </w:r>
      <w:r>
        <w:rPr>
          <w:rFonts w:ascii="FangSong" w:hAnsi="FangSong" w:eastAsia="FangSong" w:cs="FangSong"/>
          <w:sz w:val="24"/>
          <w:szCs w:val="24"/>
          <w:color w:val="333333"/>
          <w:spacing w:val="-36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分。成果主要包括以下几个方面：</w:t>
      </w:r>
    </w:p>
    <w:p>
      <w:pPr>
        <w:ind w:left="497"/>
        <w:spacing w:before="38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【荣誉称号或奖励】</w:t>
      </w:r>
    </w:p>
    <w:p>
      <w:pPr>
        <w:ind w:left="29" w:right="733" w:firstLine="484"/>
        <w:spacing w:before="73" w:line="24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获得院级及以上级别荣誉称号或奖励的（包括文体活动、思想道德建</w:t>
      </w:r>
      <w:r>
        <w:rPr>
          <w:rFonts w:ascii="FangSong" w:hAnsi="FangSong" w:eastAsia="FangSong" w:cs="FangSong"/>
          <w:sz w:val="24"/>
          <w:szCs w:val="24"/>
          <w:color w:val="333333"/>
          <w:spacing w:val="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设等竞赛或评优活动</w:t>
      </w:r>
      <w:r>
        <w:rPr>
          <w:rFonts w:ascii="FangSong" w:hAnsi="FangSong" w:eastAsia="FangSong" w:cs="FangSong"/>
          <w:sz w:val="24"/>
          <w:szCs w:val="24"/>
          <w:color w:val="333333"/>
          <w:spacing w:val="16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根据获奖级别和荣誉称号予以加分。</w:t>
      </w:r>
    </w:p>
    <w:tbl>
      <w:tblPr>
        <w:tblStyle w:val="TableNormal"/>
        <w:tblW w:w="7607" w:type="dxa"/>
        <w:tblInd w:w="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7"/>
        <w:gridCol w:w="1274"/>
        <w:gridCol w:w="792"/>
        <w:gridCol w:w="1054"/>
      </w:tblGrid>
      <w:tr>
        <w:trPr>
          <w:trHeight w:val="630" w:hRule="atLeast"/>
        </w:trPr>
        <w:tc>
          <w:tcPr>
            <w:tcW w:w="4487" w:type="dxa"/>
            <w:vAlign w:val="top"/>
          </w:tcPr>
          <w:p>
            <w:pPr>
              <w:pStyle w:val="TableText"/>
              <w:ind w:left="2021"/>
              <w:spacing w:before="197" w:line="223" w:lineRule="auto"/>
              <w:rPr/>
            </w:pPr>
            <w:r>
              <w:rPr>
                <w:color w:val="333333"/>
                <w:spacing w:val="-10"/>
              </w:rPr>
              <w:t>级别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420"/>
              <w:spacing w:before="197" w:line="224" w:lineRule="auto"/>
              <w:rPr/>
            </w:pPr>
            <w:r>
              <w:rPr>
                <w:spacing w:val="-13"/>
              </w:rPr>
              <w:t>等级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169" w:right="153"/>
              <w:spacing w:before="42" w:line="222" w:lineRule="auto"/>
              <w:rPr/>
            </w:pPr>
            <w:r>
              <w:rPr>
                <w:spacing w:val="-9"/>
              </w:rPr>
              <w:t>个人</w:t>
            </w:r>
            <w:r>
              <w:rPr/>
              <w:t xml:space="preserve"> </w:t>
            </w:r>
            <w:r>
              <w:rPr>
                <w:spacing w:val="-8"/>
              </w:rPr>
              <w:t>荣誉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421" w:right="163" w:hanging="239"/>
              <w:spacing w:before="42" w:line="222" w:lineRule="auto"/>
              <w:rPr/>
            </w:pPr>
            <w:r>
              <w:rPr>
                <w:spacing w:val="-6"/>
              </w:rPr>
              <w:t>集体荣</w:t>
            </w:r>
            <w:r>
              <w:rPr/>
              <w:t xml:space="preserve"> </w:t>
            </w:r>
            <w:r>
              <w:rPr/>
              <w:t>誉</w:t>
            </w:r>
          </w:p>
        </w:tc>
      </w:tr>
      <w:tr>
        <w:trPr>
          <w:trHeight w:val="328" w:hRule="atLeast"/>
        </w:trPr>
        <w:tc>
          <w:tcPr>
            <w:tcW w:w="4487" w:type="dxa"/>
            <w:vAlign w:val="top"/>
            <w:tcBorders>
              <w:bottom w:val="nil"/>
            </w:tcBorders>
          </w:tcPr>
          <w:p>
            <w:pPr>
              <w:pStyle w:val="TableText"/>
              <w:ind w:left="150"/>
              <w:spacing w:before="45" w:line="210" w:lineRule="auto"/>
              <w:rPr/>
            </w:pPr>
            <w:r>
              <w:rPr>
                <w:color w:val="333333"/>
                <w:spacing w:val="-5"/>
              </w:rPr>
              <w:t>国家级</w:t>
            </w:r>
            <w:r>
              <w:rPr>
                <w:spacing w:val="-5"/>
              </w:rPr>
              <w:t>优秀研究生、优秀研究生干部、优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5"/>
              <w:spacing w:before="45" w:line="210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344"/>
              <w:spacing w:before="86" w:line="178" w:lineRule="auto"/>
              <w:rPr/>
            </w:pPr>
            <w:r>
              <w:rPr/>
              <w:t>6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478"/>
              <w:spacing w:before="86" w:line="178" w:lineRule="auto"/>
              <w:rPr/>
            </w:pPr>
            <w:r>
              <w:rPr/>
              <w:t>3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1906" w:h="16839"/>
          <w:pgMar w:top="1431" w:right="1785" w:bottom="1362" w:left="1785" w:header="0" w:footer="1200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607" w:type="dxa"/>
        <w:tblInd w:w="9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7"/>
        <w:gridCol w:w="1274"/>
        <w:gridCol w:w="792"/>
        <w:gridCol w:w="1054"/>
      </w:tblGrid>
      <w:tr>
        <w:trPr>
          <w:trHeight w:val="1316" w:hRule="atLeast"/>
        </w:trPr>
        <w:tc>
          <w:tcPr>
            <w:tcW w:w="4487" w:type="dxa"/>
            <w:vAlign w:val="top"/>
            <w:vMerge w:val="restart"/>
            <w:tcBorders>
              <w:top w:val="nil"/>
              <w:bottom w:val="nil"/>
            </w:tcBorders>
          </w:tcPr>
          <w:p>
            <w:pPr>
              <w:pStyle w:val="TableText"/>
              <w:ind w:left="125"/>
              <w:spacing w:before="41" w:line="221" w:lineRule="auto"/>
              <w:rPr/>
            </w:pPr>
            <w:bookmarkStart w:name="bookmark48" w:id="77"/>
            <w:bookmarkEnd w:id="77"/>
            <w:r>
              <w:rPr>
                <w:spacing w:val="-16"/>
              </w:rPr>
              <w:t>秀党员、优秀团员、大学生年度人物和“三</w:t>
            </w:r>
          </w:p>
          <w:p>
            <w:pPr>
              <w:pStyle w:val="TableText"/>
              <w:ind w:left="127"/>
              <w:spacing w:before="24" w:line="221" w:lineRule="auto"/>
              <w:rPr/>
            </w:pPr>
            <w:r>
              <w:rPr>
                <w:spacing w:val="-6"/>
              </w:rPr>
              <w:t>下乡</w:t>
            </w:r>
            <w:r>
              <w:rPr>
                <w:spacing w:val="-85"/>
              </w:rPr>
              <w:t xml:space="preserve"> </w:t>
            </w:r>
            <w:r>
              <w:rPr>
                <w:spacing w:val="-6"/>
              </w:rPr>
              <w:t>”社会实践活动优秀个人荣誉称号的</w:t>
            </w:r>
          </w:p>
          <w:p>
            <w:pPr>
              <w:pStyle w:val="TableText"/>
              <w:ind w:left="123"/>
              <w:spacing w:before="25" w:line="219" w:lineRule="auto"/>
              <w:rPr/>
            </w:pPr>
            <w:r>
              <w:rPr>
                <w:spacing w:val="-3"/>
              </w:rPr>
              <w:t>个人，以及获得先进（样板）党支部、先</w:t>
            </w:r>
          </w:p>
          <w:p>
            <w:pPr>
              <w:pStyle w:val="TableText"/>
              <w:ind w:left="124"/>
              <w:spacing w:before="27" w:line="219" w:lineRule="auto"/>
              <w:rPr/>
            </w:pPr>
            <w:r>
              <w:rPr>
                <w:spacing w:val="-4"/>
              </w:rPr>
              <w:t>进（样板）团支部、先进班集体和“三下</w:t>
            </w:r>
          </w:p>
          <w:p>
            <w:pPr>
              <w:pStyle w:val="TableText"/>
              <w:ind w:left="145"/>
              <w:spacing w:before="26" w:line="221" w:lineRule="auto"/>
              <w:rPr/>
            </w:pPr>
            <w:r>
              <w:rPr>
                <w:spacing w:val="-7"/>
              </w:rPr>
              <w:t>乡</w:t>
            </w:r>
            <w:r>
              <w:rPr>
                <w:spacing w:val="-84"/>
              </w:rPr>
              <w:t xml:space="preserve"> </w:t>
            </w:r>
            <w:r>
              <w:rPr>
                <w:spacing w:val="-7"/>
              </w:rPr>
              <w:t>”社会实践活动优秀团体荣誉称号的集</w:t>
            </w:r>
          </w:p>
          <w:p>
            <w:pPr>
              <w:pStyle w:val="TableText"/>
              <w:ind w:left="2139"/>
              <w:spacing w:before="25" w:line="207" w:lineRule="auto"/>
              <w:rPr/>
            </w:pPr>
            <w:r>
              <w:rPr/>
              <w:t>体</w:t>
            </w:r>
          </w:p>
        </w:tc>
        <w:tc>
          <w:tcPr>
            <w:tcW w:w="1274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78" w:line="222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79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78" w:line="179" w:lineRule="auto"/>
              <w:rPr/>
            </w:pPr>
            <w:r>
              <w:rPr/>
              <w:t>5</w:t>
            </w:r>
          </w:p>
        </w:tc>
        <w:tc>
          <w:tcPr>
            <w:tcW w:w="105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7"/>
              <w:spacing w:before="78" w:line="180" w:lineRule="auto"/>
              <w:rPr/>
            </w:pPr>
            <w:r>
              <w:rPr>
                <w:spacing w:val="-4"/>
              </w:rPr>
              <w:t>2.5</w:t>
            </w:r>
          </w:p>
        </w:tc>
      </w:tr>
      <w:tr>
        <w:trPr>
          <w:trHeight w:val="560" w:hRule="atLeast"/>
        </w:trPr>
        <w:tc>
          <w:tcPr>
            <w:tcW w:w="4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8"/>
              <w:spacing w:before="158" w:line="222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341"/>
              <w:spacing w:before="200" w:line="180" w:lineRule="auto"/>
              <w:rPr/>
            </w:pPr>
            <w:r>
              <w:rPr/>
              <w:t>4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477"/>
              <w:spacing w:before="200" w:line="180" w:lineRule="auto"/>
              <w:rPr/>
            </w:pPr>
            <w:r>
              <w:rPr/>
              <w:t>2</w:t>
            </w:r>
          </w:p>
        </w:tc>
      </w:tr>
      <w:tr>
        <w:trPr>
          <w:trHeight w:val="752" w:hRule="atLeast"/>
        </w:trPr>
        <w:tc>
          <w:tcPr>
            <w:tcW w:w="448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before="78" w:line="222" w:lineRule="auto"/>
              <w:jc w:val="right"/>
              <w:rPr/>
            </w:pPr>
            <w:r>
              <w:rPr>
                <w:color w:val="333333"/>
                <w:spacing w:val="-13"/>
              </w:rPr>
              <w:t>省（部）级</w:t>
            </w:r>
            <w:r>
              <w:rPr>
                <w:spacing w:val="-13"/>
              </w:rPr>
              <w:t>优秀研究生、优秀研究生干部、</w:t>
            </w:r>
          </w:p>
          <w:p>
            <w:pPr>
              <w:pStyle w:val="TableText"/>
              <w:ind w:left="122"/>
              <w:spacing w:before="22" w:line="221" w:lineRule="auto"/>
              <w:rPr/>
            </w:pPr>
            <w:r>
              <w:rPr>
                <w:spacing w:val="-4"/>
              </w:rPr>
              <w:t>优秀党员、优秀团员、大学生年度人物和</w:t>
            </w:r>
          </w:p>
          <w:p>
            <w:pPr>
              <w:pStyle w:val="TableText"/>
              <w:ind w:left="102"/>
              <w:spacing w:before="24" w:line="221" w:lineRule="auto"/>
              <w:rPr/>
            </w:pPr>
            <w:r>
              <w:rPr>
                <w:spacing w:val="-5"/>
              </w:rPr>
              <w:t>“三下乡</w:t>
            </w:r>
            <w:r>
              <w:rPr>
                <w:spacing w:val="-78"/>
              </w:rPr>
              <w:t xml:space="preserve"> </w:t>
            </w:r>
            <w:r>
              <w:rPr>
                <w:spacing w:val="-5"/>
              </w:rPr>
              <w:t>”社会实践活动优秀个人荣誉称</w:t>
            </w:r>
          </w:p>
          <w:p>
            <w:pPr>
              <w:pStyle w:val="TableText"/>
              <w:spacing w:before="25" w:line="219" w:lineRule="auto"/>
              <w:jc w:val="right"/>
              <w:rPr/>
            </w:pPr>
            <w:r>
              <w:rPr>
                <w:spacing w:val="-13"/>
              </w:rPr>
              <w:t>号的个人，以及获得先进（样板）党支部、</w:t>
            </w:r>
          </w:p>
          <w:p>
            <w:pPr>
              <w:pStyle w:val="TableText"/>
              <w:ind w:left="125"/>
              <w:spacing w:before="27" w:line="219" w:lineRule="auto"/>
              <w:rPr/>
            </w:pPr>
            <w:r>
              <w:rPr>
                <w:spacing w:val="-3"/>
              </w:rPr>
              <w:t>先进（样板）团支部、先进班集体和“三</w:t>
            </w:r>
          </w:p>
          <w:p>
            <w:pPr>
              <w:pStyle w:val="TableText"/>
              <w:ind w:left="127"/>
              <w:spacing w:before="27" w:line="221" w:lineRule="auto"/>
              <w:rPr/>
            </w:pPr>
            <w:r>
              <w:rPr>
                <w:spacing w:val="-6"/>
              </w:rPr>
              <w:t>下乡</w:t>
            </w:r>
            <w:r>
              <w:rPr>
                <w:spacing w:val="-85"/>
              </w:rPr>
              <w:t xml:space="preserve"> </w:t>
            </w:r>
            <w:r>
              <w:rPr>
                <w:spacing w:val="-6"/>
              </w:rPr>
              <w:t>”社会实践活动优秀团体荣誉称号的</w:t>
            </w:r>
          </w:p>
          <w:p>
            <w:pPr>
              <w:pStyle w:val="TableText"/>
              <w:ind w:left="2019"/>
              <w:spacing w:before="24" w:line="222" w:lineRule="auto"/>
              <w:rPr/>
            </w:pPr>
            <w:r>
              <w:rPr>
                <w:spacing w:val="-9"/>
              </w:rPr>
              <w:t>集体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5"/>
              <w:spacing w:before="256" w:line="222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26"/>
              <w:spacing w:before="297" w:line="180" w:lineRule="auto"/>
              <w:rPr/>
            </w:pPr>
            <w:r>
              <w:rPr>
                <w:spacing w:val="-5"/>
              </w:rPr>
              <w:t>3.5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311"/>
              <w:spacing w:before="296" w:line="181" w:lineRule="auto"/>
              <w:rPr/>
            </w:pPr>
            <w:r>
              <w:rPr>
                <w:spacing w:val="-7"/>
              </w:rPr>
              <w:t>1.75</w:t>
            </w:r>
          </w:p>
        </w:tc>
      </w:tr>
      <w:tr>
        <w:trPr>
          <w:trHeight w:val="752" w:hRule="atLeast"/>
        </w:trPr>
        <w:tc>
          <w:tcPr>
            <w:tcW w:w="44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9"/>
              <w:spacing w:before="257" w:line="222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346"/>
              <w:spacing w:before="298" w:line="180" w:lineRule="auto"/>
              <w:rPr/>
            </w:pPr>
            <w:r>
              <w:rPr/>
              <w:t>3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371"/>
              <w:spacing w:before="297" w:line="181" w:lineRule="auto"/>
              <w:rPr/>
            </w:pPr>
            <w:r>
              <w:rPr>
                <w:spacing w:val="-9"/>
              </w:rPr>
              <w:t>1.5</w:t>
            </w:r>
          </w:p>
        </w:tc>
      </w:tr>
      <w:tr>
        <w:trPr>
          <w:trHeight w:val="752" w:hRule="atLeast"/>
        </w:trPr>
        <w:tc>
          <w:tcPr>
            <w:tcW w:w="4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8"/>
              <w:spacing w:before="259" w:line="222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25"/>
              <w:spacing w:before="300" w:line="180" w:lineRule="auto"/>
              <w:rPr/>
            </w:pPr>
            <w:r>
              <w:rPr>
                <w:spacing w:val="-4"/>
              </w:rPr>
              <w:t>2.5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311"/>
              <w:spacing w:before="299" w:line="181" w:lineRule="auto"/>
              <w:rPr/>
            </w:pPr>
            <w:r>
              <w:rPr>
                <w:spacing w:val="-7"/>
              </w:rPr>
              <w:t>1.25</w:t>
            </w:r>
          </w:p>
        </w:tc>
      </w:tr>
      <w:tr>
        <w:trPr>
          <w:trHeight w:val="752" w:hRule="atLeast"/>
        </w:trPr>
        <w:tc>
          <w:tcPr>
            <w:tcW w:w="4487" w:type="dxa"/>
            <w:vAlign w:val="top"/>
            <w:vMerge w:val="restart"/>
            <w:tcBorders>
              <w:bottom w:val="nil"/>
            </w:tcBorders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78" w:line="221" w:lineRule="auto"/>
              <w:rPr/>
            </w:pPr>
            <w:r>
              <w:rPr>
                <w:color w:val="333333"/>
                <w:spacing w:val="-2"/>
              </w:rPr>
              <w:t>其他省级以上个人或集体的荣誉称号或</w:t>
            </w:r>
          </w:p>
          <w:p>
            <w:pPr>
              <w:pStyle w:val="TableText"/>
              <w:ind w:left="127"/>
              <w:spacing w:before="24" w:line="222" w:lineRule="auto"/>
              <w:rPr/>
            </w:pPr>
            <w:r>
              <w:rPr>
                <w:color w:val="333333"/>
                <w:spacing w:val="-6"/>
              </w:rPr>
              <w:t>奖励、</w:t>
            </w:r>
            <w:r>
              <w:rPr>
                <w:spacing w:val="-6"/>
              </w:rPr>
              <w:t>市级、“华南农业大学</w:t>
            </w:r>
            <w:r>
              <w:rPr>
                <w:spacing w:val="-85"/>
              </w:rPr>
              <w:t xml:space="preserve"> </w:t>
            </w:r>
            <w:r>
              <w:rPr>
                <w:spacing w:val="-6"/>
              </w:rPr>
              <w:t>”或者“</w:t>
            </w:r>
            <w:r>
              <w:rPr>
                <w:spacing w:val="-73"/>
              </w:rPr>
              <w:t xml:space="preserve"> </w:t>
            </w:r>
            <w:r>
              <w:rPr>
                <w:spacing w:val="-6"/>
              </w:rPr>
              <w:t>中</w:t>
            </w:r>
          </w:p>
          <w:p>
            <w:pPr>
              <w:pStyle w:val="TableText"/>
              <w:ind w:left="129"/>
              <w:spacing w:before="23" w:line="221" w:lineRule="auto"/>
              <w:rPr/>
            </w:pPr>
            <w:r>
              <w:rPr>
                <w:spacing w:val="-6"/>
              </w:rPr>
              <w:t>共华南农业大学委员会</w:t>
            </w:r>
            <w:r>
              <w:rPr>
                <w:spacing w:val="-86"/>
              </w:rPr>
              <w:t xml:space="preserve"> </w:t>
            </w:r>
            <w:r>
              <w:rPr>
                <w:spacing w:val="-6"/>
              </w:rPr>
              <w:t>”颁发的荣誉称号</w:t>
            </w:r>
          </w:p>
          <w:p>
            <w:pPr>
              <w:pStyle w:val="TableText"/>
              <w:ind w:left="1902"/>
              <w:spacing w:before="25" w:line="222" w:lineRule="auto"/>
              <w:rPr/>
            </w:pPr>
            <w:r>
              <w:rPr>
                <w:spacing w:val="-7"/>
              </w:rPr>
              <w:t>或奖励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5"/>
              <w:spacing w:before="258" w:line="222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345"/>
              <w:spacing w:before="299" w:line="180" w:lineRule="auto"/>
              <w:rPr/>
            </w:pPr>
            <w:r>
              <w:rPr/>
              <w:t>2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491"/>
              <w:spacing w:before="298" w:line="181" w:lineRule="auto"/>
              <w:rPr/>
            </w:pPr>
            <w:r>
              <w:rPr/>
              <w:t>1</w:t>
            </w:r>
          </w:p>
        </w:tc>
      </w:tr>
      <w:tr>
        <w:trPr>
          <w:trHeight w:val="752" w:hRule="atLeast"/>
        </w:trPr>
        <w:tc>
          <w:tcPr>
            <w:tcW w:w="44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9"/>
              <w:spacing w:before="259" w:line="222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39"/>
              <w:spacing w:before="299" w:line="181" w:lineRule="auto"/>
              <w:rPr/>
            </w:pPr>
            <w:r>
              <w:rPr>
                <w:spacing w:val="-9"/>
              </w:rPr>
              <w:t>1.8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356"/>
              <w:spacing w:before="300" w:line="180" w:lineRule="auto"/>
              <w:rPr/>
            </w:pPr>
            <w:r>
              <w:rPr>
                <w:spacing w:val="-4"/>
              </w:rPr>
              <w:t>0.9</w:t>
            </w:r>
          </w:p>
        </w:tc>
      </w:tr>
      <w:tr>
        <w:trPr>
          <w:trHeight w:val="753" w:hRule="atLeast"/>
        </w:trPr>
        <w:tc>
          <w:tcPr>
            <w:tcW w:w="4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8"/>
              <w:spacing w:before="260" w:line="222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39"/>
              <w:spacing w:before="300" w:line="181" w:lineRule="auto"/>
              <w:rPr/>
            </w:pPr>
            <w:r>
              <w:rPr>
                <w:spacing w:val="-9"/>
              </w:rPr>
              <w:t>1.6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356"/>
              <w:spacing w:before="302" w:line="180" w:lineRule="auto"/>
              <w:rPr/>
            </w:pPr>
            <w:r>
              <w:rPr>
                <w:spacing w:val="-4"/>
              </w:rPr>
              <w:t>0.8</w:t>
            </w:r>
          </w:p>
        </w:tc>
      </w:tr>
      <w:tr>
        <w:trPr>
          <w:trHeight w:val="317" w:hRule="atLeast"/>
        </w:trPr>
        <w:tc>
          <w:tcPr>
            <w:tcW w:w="4487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78" w:line="222" w:lineRule="auto"/>
              <w:rPr/>
            </w:pPr>
            <w:r>
              <w:rPr>
                <w:color w:val="333333"/>
                <w:spacing w:val="-4"/>
              </w:rPr>
              <w:t>校级各机关部处、党团组织和学生会颁发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5"/>
              <w:spacing w:before="41" w:line="204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39"/>
              <w:spacing w:before="83" w:line="172" w:lineRule="auto"/>
              <w:rPr/>
            </w:pPr>
            <w:r>
              <w:rPr>
                <w:spacing w:val="-9"/>
              </w:rPr>
              <w:t>1.5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296"/>
              <w:spacing w:before="83" w:line="172" w:lineRule="auto"/>
              <w:rPr/>
            </w:pPr>
            <w:r>
              <w:rPr>
                <w:spacing w:val="-3"/>
              </w:rPr>
              <w:t>0.75</w:t>
            </w:r>
          </w:p>
        </w:tc>
      </w:tr>
      <w:tr>
        <w:trPr>
          <w:trHeight w:val="317" w:hRule="atLeast"/>
        </w:trPr>
        <w:tc>
          <w:tcPr>
            <w:tcW w:w="44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9"/>
              <w:spacing w:before="41" w:line="204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39"/>
              <w:spacing w:before="82" w:line="173" w:lineRule="auto"/>
              <w:rPr/>
            </w:pPr>
            <w:r>
              <w:rPr>
                <w:spacing w:val="-9"/>
              </w:rPr>
              <w:t>1.3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296"/>
              <w:spacing w:before="83" w:line="172" w:lineRule="auto"/>
              <w:rPr/>
            </w:pPr>
            <w:r>
              <w:rPr>
                <w:spacing w:val="-3"/>
              </w:rPr>
              <w:t>0.65</w:t>
            </w:r>
          </w:p>
        </w:tc>
      </w:tr>
      <w:tr>
        <w:trPr>
          <w:trHeight w:val="317" w:hRule="atLeast"/>
        </w:trPr>
        <w:tc>
          <w:tcPr>
            <w:tcW w:w="4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8"/>
              <w:spacing w:before="41" w:line="204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39"/>
              <w:spacing w:before="82" w:line="173" w:lineRule="auto"/>
              <w:rPr/>
            </w:pPr>
            <w:r>
              <w:rPr>
                <w:spacing w:val="-9"/>
              </w:rPr>
              <w:t>1.1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296"/>
              <w:spacing w:before="83" w:line="172" w:lineRule="auto"/>
              <w:rPr/>
            </w:pPr>
            <w:r>
              <w:rPr>
                <w:spacing w:val="-3"/>
              </w:rPr>
              <w:t>0.55</w:t>
            </w:r>
          </w:p>
        </w:tc>
      </w:tr>
      <w:tr>
        <w:trPr>
          <w:trHeight w:val="317" w:hRule="atLeast"/>
        </w:trPr>
        <w:tc>
          <w:tcPr>
            <w:tcW w:w="4487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2"/>
              <w:spacing w:before="78" w:line="222" w:lineRule="auto"/>
              <w:rPr/>
            </w:pPr>
            <w:r>
              <w:rPr>
                <w:color w:val="333333"/>
                <w:spacing w:val="-8"/>
              </w:rPr>
              <w:t>院级奖励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5"/>
              <w:spacing w:before="43" w:line="203" w:lineRule="auto"/>
              <w:rPr/>
            </w:pPr>
            <w:r>
              <w:rPr>
                <w:spacing w:val="-7"/>
              </w:rPr>
              <w:t>一等奖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359"/>
              <w:spacing w:before="84" w:line="171" w:lineRule="auto"/>
              <w:rPr/>
            </w:pPr>
            <w:r>
              <w:rPr/>
              <w:t>1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356"/>
              <w:spacing w:before="84" w:line="171" w:lineRule="auto"/>
              <w:rPr/>
            </w:pPr>
            <w:r>
              <w:rPr>
                <w:spacing w:val="-4"/>
              </w:rPr>
              <w:t>0.5</w:t>
            </w:r>
          </w:p>
        </w:tc>
      </w:tr>
      <w:tr>
        <w:trPr>
          <w:trHeight w:val="317" w:hRule="atLeast"/>
        </w:trPr>
        <w:tc>
          <w:tcPr>
            <w:tcW w:w="44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9"/>
              <w:spacing w:before="43" w:line="203" w:lineRule="auto"/>
              <w:rPr/>
            </w:pPr>
            <w:r>
              <w:rPr>
                <w:spacing w:val="-8"/>
              </w:rPr>
              <w:t>二等奖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24"/>
              <w:spacing w:before="84" w:line="171" w:lineRule="auto"/>
              <w:rPr/>
            </w:pPr>
            <w:r>
              <w:rPr>
                <w:spacing w:val="-4"/>
              </w:rPr>
              <w:t>0.8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356"/>
              <w:spacing w:before="84" w:line="171" w:lineRule="auto"/>
              <w:rPr/>
            </w:pPr>
            <w:r>
              <w:rPr>
                <w:spacing w:val="-4"/>
              </w:rPr>
              <w:t>0.4</w:t>
            </w:r>
          </w:p>
        </w:tc>
      </w:tr>
      <w:tr>
        <w:trPr>
          <w:trHeight w:val="322" w:hRule="atLeast"/>
        </w:trPr>
        <w:tc>
          <w:tcPr>
            <w:tcW w:w="4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98"/>
              <w:spacing w:before="42" w:line="207" w:lineRule="auto"/>
              <w:rPr/>
            </w:pPr>
            <w:r>
              <w:rPr>
                <w:spacing w:val="-8"/>
              </w:rPr>
              <w:t>三等奖</w:t>
            </w:r>
          </w:p>
        </w:tc>
        <w:tc>
          <w:tcPr>
            <w:tcW w:w="792" w:type="dxa"/>
            <w:vAlign w:val="top"/>
          </w:tcPr>
          <w:p>
            <w:pPr>
              <w:pStyle w:val="TableText"/>
              <w:ind w:left="224"/>
              <w:spacing w:before="84" w:line="175" w:lineRule="auto"/>
              <w:rPr/>
            </w:pPr>
            <w:r>
              <w:rPr>
                <w:spacing w:val="-4"/>
              </w:rPr>
              <w:t>0.5</w:t>
            </w:r>
          </w:p>
        </w:tc>
        <w:tc>
          <w:tcPr>
            <w:tcW w:w="1054" w:type="dxa"/>
            <w:vAlign w:val="top"/>
          </w:tcPr>
          <w:p>
            <w:pPr>
              <w:pStyle w:val="TableText"/>
              <w:ind w:left="296"/>
              <w:spacing w:before="84" w:line="175" w:lineRule="auto"/>
              <w:rPr/>
            </w:pPr>
            <w:r>
              <w:rPr>
                <w:spacing w:val="-3"/>
              </w:rPr>
              <w:t>0.25</w:t>
            </w:r>
          </w:p>
        </w:tc>
      </w:tr>
    </w:tbl>
    <w:p>
      <w:pPr>
        <w:ind w:left="115" w:right="733" w:firstLine="486"/>
        <w:spacing w:before="82" w:line="272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注：以上</w:t>
      </w:r>
      <w:r>
        <w:rPr>
          <w:rFonts w:ascii="FangSong" w:hAnsi="FangSong" w:eastAsia="FangSong" w:cs="FangSong"/>
          <w:sz w:val="24"/>
          <w:szCs w:val="24"/>
          <w:spacing w:val="-4"/>
        </w:rPr>
        <w:t>若只设名次的荣誉称号或奖励，第一名参照一等奖标准，第</w:t>
      </w:r>
      <w:r>
        <w:rPr>
          <w:rFonts w:ascii="FangSong" w:hAnsi="FangSong" w:eastAsia="FangSong" w:cs="FangSong"/>
          <w:sz w:val="24"/>
          <w:szCs w:val="24"/>
          <w:spacing w:val="2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二、三名参照二等奖标准，第四至第十名参照三等奖标准。不设等级和名</w:t>
      </w:r>
      <w:r>
        <w:rPr>
          <w:rFonts w:ascii="FangSong" w:hAnsi="FangSong" w:eastAsia="FangSong" w:cs="FangSong"/>
          <w:sz w:val="24"/>
          <w:szCs w:val="24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次的荣誉称号或奖励，一律按二等奖标准加分。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各级荣誉或奖励，均应由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政府部门、机关单位或党团组织颁发。以上荣誉，个人荣誉和集体荣誉都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可以各加</w:t>
      </w:r>
      <w:r>
        <w:rPr>
          <w:rFonts w:ascii="FangSong" w:hAnsi="FangSong" w:eastAsia="FangSong" w:cs="FangSong"/>
          <w:sz w:val="24"/>
          <w:szCs w:val="24"/>
          <w:color w:val="333333"/>
          <w:spacing w:val="-4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2</w:t>
      </w:r>
      <w:r>
        <w:rPr>
          <w:rFonts w:ascii="FangSong" w:hAnsi="FangSong" w:eastAsia="FangSong" w:cs="FangSong"/>
          <w:sz w:val="24"/>
          <w:szCs w:val="24"/>
          <w:color w:val="333333"/>
          <w:spacing w:val="-4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项，但（个人或集体）的第二项荣誉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加分需减半（可分别选最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高分项提交材料）。</w:t>
      </w:r>
    </w:p>
    <w:p>
      <w:pPr>
        <w:pStyle w:val="BodyText"/>
        <w:spacing w:line="321" w:lineRule="auto"/>
        <w:rPr/>
      </w:pPr>
      <w:r/>
    </w:p>
    <w:p>
      <w:pPr>
        <w:ind w:left="582"/>
        <w:spacing w:before="7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【担任学生干部】</w:t>
      </w:r>
    </w:p>
    <w:p>
      <w:pPr>
        <w:spacing w:line="56" w:lineRule="exact"/>
        <w:rPr/>
      </w:pPr>
      <w:r/>
    </w:p>
    <w:tbl>
      <w:tblPr>
        <w:tblStyle w:val="TableNormal"/>
        <w:tblW w:w="77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388"/>
        <w:gridCol w:w="1322"/>
      </w:tblGrid>
      <w:tr>
        <w:trPr>
          <w:trHeight w:val="321" w:hRule="atLeast"/>
        </w:trPr>
        <w:tc>
          <w:tcPr>
            <w:tcW w:w="6388" w:type="dxa"/>
            <w:vAlign w:val="top"/>
          </w:tcPr>
          <w:p>
            <w:pPr>
              <w:pStyle w:val="TableText"/>
              <w:ind w:left="2968"/>
              <w:spacing w:before="40" w:line="208" w:lineRule="auto"/>
              <w:rPr/>
            </w:pPr>
            <w:r>
              <w:rPr>
                <w:spacing w:val="-8"/>
              </w:rPr>
              <w:t>职务</w:t>
            </w:r>
          </w:p>
        </w:tc>
        <w:tc>
          <w:tcPr>
            <w:tcW w:w="1322" w:type="dxa"/>
            <w:vAlign w:val="top"/>
          </w:tcPr>
          <w:p>
            <w:pPr>
              <w:pStyle w:val="TableText"/>
              <w:ind w:left="434"/>
              <w:spacing w:before="40" w:line="208" w:lineRule="auto"/>
              <w:rPr/>
            </w:pPr>
            <w:r>
              <w:rPr>
                <w:spacing w:val="-8"/>
              </w:rPr>
              <w:t>加分</w:t>
            </w:r>
          </w:p>
        </w:tc>
      </w:tr>
      <w:tr>
        <w:trPr>
          <w:trHeight w:val="939" w:hRule="atLeast"/>
        </w:trPr>
        <w:tc>
          <w:tcPr>
            <w:tcW w:w="6388" w:type="dxa"/>
            <w:vAlign w:val="top"/>
          </w:tcPr>
          <w:p>
            <w:pPr>
              <w:pStyle w:val="TableText"/>
              <w:ind w:left="136" w:hanging="14"/>
              <w:spacing w:before="39" w:line="228" w:lineRule="auto"/>
              <w:jc w:val="both"/>
              <w:rPr/>
            </w:pPr>
            <w:r>
              <w:rPr>
                <w:spacing w:val="-5"/>
              </w:rPr>
              <w:t>校院团委副书记、团委研究生部主任团成员，研究生会主席</w:t>
            </w:r>
            <w:r>
              <w:rPr>
                <w:spacing w:val="8"/>
              </w:rPr>
              <w:t xml:space="preserve">  </w:t>
            </w:r>
            <w:r>
              <w:rPr>
                <w:spacing w:val="-6"/>
              </w:rPr>
              <w:t>团成员，媒体中心主任团成员，党务工作室主任（副主任</w:t>
            </w:r>
            <w:r>
              <w:rPr>
                <w:spacing w:val="-43"/>
              </w:rPr>
              <w:t>），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院心理站站长</w:t>
            </w:r>
          </w:p>
        </w:tc>
        <w:tc>
          <w:tcPr>
            <w:tcW w:w="1322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0"/>
              <w:spacing w:before="78" w:line="180" w:lineRule="auto"/>
              <w:rPr/>
            </w:pPr>
            <w:r>
              <w:rPr/>
              <w:t>2</w:t>
            </w:r>
          </w:p>
        </w:tc>
      </w:tr>
      <w:tr>
        <w:trPr>
          <w:trHeight w:val="939" w:hRule="atLeast"/>
        </w:trPr>
        <w:tc>
          <w:tcPr>
            <w:tcW w:w="6388" w:type="dxa"/>
            <w:vAlign w:val="top"/>
          </w:tcPr>
          <w:p>
            <w:pPr>
              <w:pStyle w:val="TableText"/>
              <w:ind w:left="128" w:right="90"/>
              <w:spacing w:before="39" w:line="228" w:lineRule="auto"/>
              <w:jc w:val="both"/>
              <w:rPr/>
            </w:pPr>
            <w:r>
              <w:rPr>
                <w:spacing w:val="-4"/>
              </w:rPr>
              <w:t>党支部书记（副书记</w:t>
            </w:r>
            <w:r>
              <w:rPr>
                <w:spacing w:val="9"/>
              </w:rPr>
              <w:t>），</w:t>
            </w:r>
            <w:r>
              <w:rPr>
                <w:spacing w:val="-4"/>
              </w:rPr>
              <w:t>校院团委、研究生会部门负责人，</w:t>
            </w:r>
            <w:r>
              <w:rPr/>
              <w:t xml:space="preserve"> </w:t>
            </w:r>
            <w:r>
              <w:rPr>
                <w:spacing w:val="-4"/>
              </w:rPr>
              <w:t>党务工作室部门负责人、院心理站部门负责人、班长（团支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书）、年级委员会委员</w:t>
            </w:r>
          </w:p>
        </w:tc>
        <w:tc>
          <w:tcPr>
            <w:tcW w:w="1322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5"/>
              <w:spacing w:before="78" w:line="181" w:lineRule="auto"/>
              <w:rPr/>
            </w:pPr>
            <w:r>
              <w:rPr>
                <w:spacing w:val="-9"/>
              </w:rPr>
              <w:t>1.5</w:t>
            </w:r>
          </w:p>
        </w:tc>
      </w:tr>
      <w:tr>
        <w:trPr>
          <w:trHeight w:val="287" w:hRule="atLeast"/>
        </w:trPr>
        <w:tc>
          <w:tcPr>
            <w:tcW w:w="6388" w:type="dxa"/>
            <w:vAlign w:val="top"/>
          </w:tcPr>
          <w:p>
            <w:pPr>
              <w:pStyle w:val="TableText"/>
              <w:ind w:left="128"/>
              <w:spacing w:before="41" w:line="181" w:lineRule="auto"/>
              <w:rPr/>
            </w:pPr>
            <w:r>
              <w:rPr>
                <w:spacing w:val="-4"/>
              </w:rPr>
              <w:t>党团支部支委、班委委员、校院级研究生组织和院心理站的</w:t>
            </w:r>
          </w:p>
        </w:tc>
        <w:tc>
          <w:tcPr>
            <w:tcW w:w="1322" w:type="dxa"/>
            <w:vAlign w:val="top"/>
          </w:tcPr>
          <w:p>
            <w:pPr>
              <w:pStyle w:val="TableText"/>
              <w:ind w:left="625"/>
              <w:spacing w:before="82" w:line="194" w:lineRule="exact"/>
              <w:rPr/>
            </w:pPr>
            <w:r>
              <w:rPr>
                <w:position w:val="-2"/>
              </w:rPr>
              <w:t>1</w:t>
            </w:r>
          </w:p>
        </w:tc>
      </w:tr>
    </w:tbl>
    <w:p>
      <w:pPr>
        <w:pStyle w:val="BodyText"/>
        <w:spacing w:line="191" w:lineRule="exact"/>
        <w:rPr>
          <w:sz w:val="16"/>
        </w:rPr>
      </w:pPr>
      <w:r/>
    </w:p>
    <w:p>
      <w:pPr>
        <w:spacing w:line="191" w:lineRule="exact"/>
        <w:sectPr>
          <w:footerReference w:type="default" r:id="rId11"/>
          <w:pgSz w:w="11906" w:h="16839"/>
          <w:pgMar w:top="1431" w:right="1785" w:bottom="1362" w:left="1700" w:header="0" w:footer="1200" w:gutter="0"/>
        </w:sectPr>
        <w:rPr>
          <w:sz w:val="16"/>
          <w:szCs w:val="16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7710" w:type="dxa"/>
        <w:tblInd w:w="1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388"/>
        <w:gridCol w:w="1322"/>
      </w:tblGrid>
      <w:tr>
        <w:trPr>
          <w:trHeight w:val="576" w:hRule="atLeast"/>
        </w:trPr>
        <w:tc>
          <w:tcPr>
            <w:tcW w:w="6388" w:type="dxa"/>
            <w:vAlign w:val="top"/>
          </w:tcPr>
          <w:p>
            <w:pPr>
              <w:pStyle w:val="TableText"/>
              <w:ind w:left="128"/>
              <w:spacing w:before="42" w:line="220" w:lineRule="auto"/>
              <w:rPr/>
            </w:pPr>
            <w:bookmarkStart w:name="bookmark49" w:id="78"/>
            <w:bookmarkEnd w:id="78"/>
            <w:r>
              <w:rPr>
                <w:spacing w:val="-6"/>
              </w:rPr>
              <w:t>工作人员</w:t>
            </w:r>
          </w:p>
        </w:tc>
        <w:tc>
          <w:tcPr>
            <w:tcW w:w="13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6388" w:type="dxa"/>
            <w:vAlign w:val="top"/>
          </w:tcPr>
          <w:p>
            <w:pPr>
              <w:pStyle w:val="TableText"/>
              <w:ind w:left="2739"/>
              <w:spacing w:before="42" w:line="206" w:lineRule="auto"/>
              <w:rPr/>
            </w:pPr>
            <w:r>
              <w:rPr>
                <w:spacing w:val="-7"/>
              </w:rPr>
              <w:t>学院助班</w:t>
            </w:r>
          </w:p>
        </w:tc>
        <w:tc>
          <w:tcPr>
            <w:tcW w:w="1322" w:type="dxa"/>
            <w:vAlign w:val="top"/>
          </w:tcPr>
          <w:p>
            <w:pPr>
              <w:pStyle w:val="TableText"/>
              <w:ind w:left="489"/>
              <w:spacing w:before="83" w:line="174" w:lineRule="auto"/>
              <w:rPr/>
            </w:pPr>
            <w:r>
              <w:rPr>
                <w:spacing w:val="-4"/>
              </w:rPr>
              <w:t>0.5</w:t>
            </w:r>
          </w:p>
        </w:tc>
      </w:tr>
    </w:tbl>
    <w:p>
      <w:pPr>
        <w:pStyle w:val="BodyText"/>
        <w:spacing w:line="268" w:lineRule="auto"/>
        <w:rPr/>
      </w:pPr>
      <w:r/>
    </w:p>
    <w:p>
      <w:pPr>
        <w:ind w:left="137" w:right="868" w:firstLine="7"/>
        <w:spacing w:before="78" w:line="23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注：以上担任学生干部均需超过半年，且能认真履行工作职责者，担任</w:t>
      </w:r>
      <w:r>
        <w:rPr>
          <w:rFonts w:ascii="FangSong" w:hAnsi="FangSong" w:eastAsia="FangSong" w:cs="FangSong"/>
          <w:sz w:val="24"/>
          <w:szCs w:val="24"/>
          <w:spacing w:val="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多个职务的，只能加</w:t>
      </w:r>
      <w:r>
        <w:rPr>
          <w:rFonts w:ascii="FangSong" w:hAnsi="FangSong" w:eastAsia="FangSong" w:cs="FangSong"/>
          <w:sz w:val="24"/>
          <w:szCs w:val="24"/>
          <w:spacing w:val="-4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2</w:t>
      </w:r>
      <w:r>
        <w:rPr>
          <w:rFonts w:ascii="FangSong" w:hAnsi="FangSong" w:eastAsia="FangSong" w:cs="FangSong"/>
          <w:sz w:val="24"/>
          <w:szCs w:val="24"/>
          <w:spacing w:val="-4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个职务分，按（最高职务分加次高职务分*0.5）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6"/>
        </w:rPr>
        <w:t>加分。</w:t>
      </w:r>
    </w:p>
    <w:p>
      <w:pPr>
        <w:pStyle w:val="BodyText"/>
        <w:spacing w:line="348" w:lineRule="auto"/>
        <w:rPr/>
      </w:pPr>
      <w:r/>
    </w:p>
    <w:p>
      <w:pPr>
        <w:ind w:left="593"/>
        <w:spacing w:before="78" w:line="22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【思政项目参与分】</w:t>
      </w:r>
    </w:p>
    <w:p>
      <w:pPr>
        <w:spacing w:line="52" w:lineRule="exact"/>
        <w:rPr/>
      </w:pPr>
      <w:r/>
    </w:p>
    <w:tbl>
      <w:tblPr>
        <w:tblStyle w:val="TableNormal"/>
        <w:tblW w:w="775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534"/>
        <w:gridCol w:w="3083"/>
        <w:gridCol w:w="2135"/>
      </w:tblGrid>
      <w:tr>
        <w:trPr>
          <w:trHeight w:val="320" w:hRule="atLeast"/>
        </w:trPr>
        <w:tc>
          <w:tcPr>
            <w:tcW w:w="2534" w:type="dxa"/>
            <w:vAlign w:val="top"/>
          </w:tcPr>
          <w:p>
            <w:pPr>
              <w:pStyle w:val="TableText"/>
              <w:ind w:left="1043"/>
              <w:spacing w:before="42" w:line="206" w:lineRule="auto"/>
              <w:rPr/>
            </w:pPr>
            <w:r>
              <w:rPr>
                <w:spacing w:val="-10"/>
              </w:rPr>
              <w:t>级别</w:t>
            </w:r>
          </w:p>
        </w:tc>
        <w:tc>
          <w:tcPr>
            <w:tcW w:w="3083" w:type="dxa"/>
            <w:vAlign w:val="top"/>
          </w:tcPr>
          <w:p>
            <w:pPr>
              <w:pStyle w:val="TableText"/>
              <w:ind w:left="1314"/>
              <w:spacing w:before="42" w:line="206" w:lineRule="auto"/>
              <w:rPr/>
            </w:pPr>
            <w:r>
              <w:rPr>
                <w:spacing w:val="-8"/>
              </w:rPr>
              <w:t>加分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842"/>
              <w:spacing w:before="42" w:line="206" w:lineRule="auto"/>
              <w:rPr/>
            </w:pPr>
            <w:r>
              <w:rPr>
                <w:spacing w:val="-9"/>
              </w:rPr>
              <w:t>备注</w:t>
            </w:r>
          </w:p>
        </w:tc>
      </w:tr>
      <w:tr>
        <w:trPr>
          <w:trHeight w:val="316" w:hRule="atLeast"/>
        </w:trPr>
        <w:tc>
          <w:tcPr>
            <w:tcW w:w="2534" w:type="dxa"/>
            <w:vAlign w:val="top"/>
          </w:tcPr>
          <w:p>
            <w:pPr>
              <w:pStyle w:val="TableText"/>
              <w:ind w:left="948"/>
              <w:spacing w:before="39" w:line="205" w:lineRule="auto"/>
              <w:rPr/>
            </w:pPr>
            <w:r>
              <w:rPr>
                <w:spacing w:val="-15"/>
              </w:rPr>
              <w:t>国家级</w:t>
            </w:r>
          </w:p>
        </w:tc>
        <w:tc>
          <w:tcPr>
            <w:tcW w:w="3083" w:type="dxa"/>
            <w:vAlign w:val="top"/>
          </w:tcPr>
          <w:p>
            <w:pPr>
              <w:pStyle w:val="TableText"/>
              <w:ind w:left="1490"/>
              <w:spacing w:before="81" w:line="173" w:lineRule="auto"/>
              <w:rPr/>
            </w:pPr>
            <w:r>
              <w:rPr/>
              <w:t>2</w:t>
            </w:r>
          </w:p>
        </w:tc>
        <w:tc>
          <w:tcPr>
            <w:tcW w:w="2135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2" w:right="100" w:hanging="263"/>
              <w:spacing w:before="78" w:line="232" w:lineRule="auto"/>
              <w:rPr/>
            </w:pPr>
            <w:r>
              <w:rPr>
                <w:spacing w:val="-11"/>
              </w:rPr>
              <w:t>负责人：加</w:t>
            </w:r>
            <w:r>
              <w:rPr>
                <w:spacing w:val="-32"/>
              </w:rPr>
              <w:t xml:space="preserve"> </w:t>
            </w:r>
            <w:r>
              <w:rPr>
                <w:spacing w:val="-11"/>
              </w:rPr>
              <w:t>100%；</w:t>
            </w:r>
            <w:r>
              <w:rPr/>
              <w:t xml:space="preserve"> </w:t>
            </w:r>
            <w:r>
              <w:rPr>
                <w:spacing w:val="-5"/>
              </w:rPr>
              <w:t>成员：加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50%</w:t>
            </w:r>
          </w:p>
        </w:tc>
      </w:tr>
      <w:tr>
        <w:trPr>
          <w:trHeight w:val="316" w:hRule="atLeast"/>
        </w:trPr>
        <w:tc>
          <w:tcPr>
            <w:tcW w:w="2534" w:type="dxa"/>
            <w:vAlign w:val="top"/>
          </w:tcPr>
          <w:p>
            <w:pPr>
              <w:pStyle w:val="TableText"/>
              <w:ind w:left="1042"/>
              <w:spacing w:before="39" w:line="205" w:lineRule="auto"/>
              <w:rPr/>
            </w:pPr>
            <w:r>
              <w:rPr>
                <w:spacing w:val="-9"/>
              </w:rPr>
              <w:t>省级</w:t>
            </w:r>
          </w:p>
        </w:tc>
        <w:tc>
          <w:tcPr>
            <w:tcW w:w="3083" w:type="dxa"/>
            <w:vAlign w:val="top"/>
          </w:tcPr>
          <w:p>
            <w:pPr>
              <w:pStyle w:val="TableText"/>
              <w:ind w:left="1385"/>
              <w:spacing w:before="79" w:line="174" w:lineRule="auto"/>
              <w:rPr/>
            </w:pPr>
            <w:r>
              <w:rPr>
                <w:spacing w:val="-9"/>
              </w:rPr>
              <w:t>1.5</w:t>
            </w:r>
          </w:p>
        </w:tc>
        <w:tc>
          <w:tcPr>
            <w:tcW w:w="21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2534" w:type="dxa"/>
            <w:vAlign w:val="top"/>
          </w:tcPr>
          <w:p>
            <w:pPr>
              <w:pStyle w:val="TableText"/>
              <w:ind w:left="747"/>
              <w:spacing w:before="40" w:line="204" w:lineRule="auto"/>
              <w:rPr/>
            </w:pPr>
            <w:r>
              <w:rPr>
                <w:spacing w:val="-5"/>
              </w:rPr>
              <w:t>市级/校级</w:t>
            </w:r>
          </w:p>
        </w:tc>
        <w:tc>
          <w:tcPr>
            <w:tcW w:w="3083" w:type="dxa"/>
            <w:vAlign w:val="top"/>
          </w:tcPr>
          <w:p>
            <w:pPr>
              <w:pStyle w:val="TableText"/>
              <w:ind w:left="1505"/>
              <w:spacing w:before="81" w:line="173" w:lineRule="auto"/>
              <w:rPr/>
            </w:pPr>
            <w:r>
              <w:rPr/>
              <w:t>1</w:t>
            </w:r>
          </w:p>
        </w:tc>
        <w:tc>
          <w:tcPr>
            <w:tcW w:w="21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1" w:hRule="atLeast"/>
        </w:trPr>
        <w:tc>
          <w:tcPr>
            <w:tcW w:w="2534" w:type="dxa"/>
            <w:vAlign w:val="top"/>
          </w:tcPr>
          <w:p>
            <w:pPr>
              <w:pStyle w:val="TableText"/>
              <w:ind w:left="1054"/>
              <w:spacing w:before="40" w:line="208" w:lineRule="auto"/>
              <w:rPr/>
            </w:pPr>
            <w:r>
              <w:rPr>
                <w:spacing w:val="-15"/>
              </w:rPr>
              <w:t>院级</w:t>
            </w:r>
          </w:p>
        </w:tc>
        <w:tc>
          <w:tcPr>
            <w:tcW w:w="3083" w:type="dxa"/>
            <w:vAlign w:val="top"/>
          </w:tcPr>
          <w:p>
            <w:pPr>
              <w:pStyle w:val="TableText"/>
              <w:ind w:left="1369"/>
              <w:spacing w:before="82" w:line="176" w:lineRule="auto"/>
              <w:rPr/>
            </w:pPr>
            <w:r>
              <w:rPr>
                <w:spacing w:val="-4"/>
              </w:rPr>
              <w:t>0.5</w:t>
            </w:r>
          </w:p>
        </w:tc>
        <w:tc>
          <w:tcPr>
            <w:tcW w:w="21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27" w:right="733" w:firstLine="485"/>
        <w:spacing w:before="198" w:line="266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注：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4"/>
        </w:rPr>
        <w:t>项目需由政府部门、党团组织主办。各类奖励的级别以所盖的公</w:t>
      </w:r>
      <w:r>
        <w:rPr>
          <w:rFonts w:ascii="FangSong" w:hAnsi="FangSong" w:eastAsia="FangSong" w:cs="FangSong"/>
          <w:sz w:val="24"/>
          <w:szCs w:val="24"/>
          <w:color w:val="333333"/>
          <w:spacing w:val="2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5"/>
        </w:rPr>
        <w:t>章为准。个人荣誉和集体荣誉都可以各加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29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 w:color="auto"/>
          <w:color w:val="333333"/>
          <w:spacing w:val="-5"/>
        </w:rPr>
        <w:t>2</w:t>
      </w:r>
      <w:r>
        <w:rPr>
          <w:rFonts w:ascii="Calibri" w:hAnsi="Calibri" w:eastAsia="Calibri" w:cs="Calibri"/>
          <w:sz w:val="24"/>
          <w:szCs w:val="24"/>
          <w:u w:val="single" w:color="auto"/>
          <w:color w:val="333333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  <w:spacing w:val="-5"/>
        </w:rPr>
        <w:t>项，但（个人或集体）的第二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color w:val="333333"/>
        </w:rPr>
        <w:t>项荣誉加分需减半（可分别选最高分项提交材料）。</w:t>
      </w:r>
    </w:p>
    <w:p>
      <w:pPr>
        <w:pStyle w:val="BodyText"/>
        <w:spacing w:line="320" w:lineRule="auto"/>
        <w:rPr/>
      </w:pPr>
      <w:r/>
    </w:p>
    <w:p>
      <w:pPr>
        <w:ind w:left="593"/>
        <w:spacing w:before="78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【思政学习与其他项目加分】</w:t>
      </w:r>
    </w:p>
    <w:p>
      <w:pPr>
        <w:spacing w:line="58" w:lineRule="exact"/>
        <w:rPr/>
      </w:pPr>
      <w:r/>
    </w:p>
    <w:tbl>
      <w:tblPr>
        <w:tblStyle w:val="TableNormal"/>
        <w:tblW w:w="76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01"/>
        <w:gridCol w:w="877"/>
        <w:gridCol w:w="3962"/>
        <w:gridCol w:w="1782"/>
      </w:tblGrid>
      <w:tr>
        <w:trPr>
          <w:trHeight w:val="321" w:hRule="atLeast"/>
        </w:trPr>
        <w:tc>
          <w:tcPr>
            <w:tcW w:w="1001" w:type="dxa"/>
            <w:vAlign w:val="top"/>
            <w:vMerge w:val="restart"/>
            <w:tcBorders>
              <w:bottom w:val="nil"/>
            </w:tcBorders>
          </w:tcPr>
          <w:p>
            <w:pPr>
              <w:spacing w:line="4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 w:right="139" w:hanging="76"/>
              <w:spacing w:before="78" w:line="235" w:lineRule="auto"/>
              <w:jc w:val="both"/>
              <w:rPr/>
            </w:pPr>
            <w:r>
              <w:rPr>
                <w:spacing w:val="-9"/>
              </w:rPr>
              <w:t>思政学</w:t>
            </w:r>
            <w:r>
              <w:rPr/>
              <w:t xml:space="preserve"> </w:t>
            </w:r>
            <w:r>
              <w:rPr>
                <w:spacing w:val="-14"/>
              </w:rPr>
              <w:t>习（2</w:t>
            </w:r>
            <w:r>
              <w:rPr/>
              <w:t xml:space="preserve"> </w:t>
            </w:r>
            <w:r>
              <w:rPr>
                <w:spacing w:val="9"/>
              </w:rPr>
              <w:t>分）</w:t>
            </w:r>
          </w:p>
        </w:tc>
        <w:tc>
          <w:tcPr>
            <w:tcW w:w="87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75" w:right="137" w:firstLine="41"/>
              <w:spacing w:before="212" w:line="236" w:lineRule="auto"/>
              <w:jc w:val="both"/>
              <w:rPr/>
            </w:pPr>
            <w:r>
              <w:rPr>
                <w:spacing w:val="-12"/>
              </w:rPr>
              <w:t>青年</w:t>
            </w:r>
            <w:r>
              <w:rPr/>
              <w:t xml:space="preserve"> </w:t>
            </w:r>
            <w:r>
              <w:rPr>
                <w:spacing w:val="9"/>
              </w:rPr>
              <w:t>大学</w:t>
            </w:r>
            <w:r>
              <w:rPr/>
              <w:t xml:space="preserve"> </w:t>
            </w:r>
            <w:r>
              <w:rPr>
                <w:spacing w:val="-14"/>
              </w:rPr>
              <w:t>习（1</w:t>
            </w:r>
            <w:r>
              <w:rPr/>
              <w:t xml:space="preserve"> </w:t>
            </w:r>
            <w:r>
              <w:rPr>
                <w:spacing w:val="9"/>
              </w:rPr>
              <w:t>分）</w:t>
            </w:r>
          </w:p>
        </w:tc>
        <w:tc>
          <w:tcPr>
            <w:tcW w:w="3962" w:type="dxa"/>
            <w:vAlign w:val="top"/>
          </w:tcPr>
          <w:p>
            <w:pPr>
              <w:pStyle w:val="TableText"/>
              <w:ind w:left="1514"/>
              <w:spacing w:before="43" w:line="206" w:lineRule="auto"/>
              <w:rPr/>
            </w:pPr>
            <w:r>
              <w:rPr>
                <w:spacing w:val="-4"/>
              </w:rPr>
              <w:t>观看情况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664"/>
              <w:spacing w:before="43" w:line="206" w:lineRule="auto"/>
              <w:rPr/>
            </w:pPr>
            <w:r>
              <w:rPr>
                <w:spacing w:val="-8"/>
              </w:rPr>
              <w:t>加分</w:t>
            </w:r>
          </w:p>
        </w:tc>
      </w:tr>
      <w:tr>
        <w:trPr>
          <w:trHeight w:val="316" w:hRule="atLeast"/>
        </w:trPr>
        <w:tc>
          <w:tcPr>
            <w:tcW w:w="10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62" w:type="dxa"/>
            <w:vAlign w:val="top"/>
          </w:tcPr>
          <w:p>
            <w:pPr>
              <w:pStyle w:val="TableText"/>
              <w:ind w:left="920"/>
              <w:spacing w:before="38" w:line="206" w:lineRule="auto"/>
              <w:rPr/>
            </w:pPr>
            <w:r>
              <w:rPr>
                <w:spacing w:val="-3"/>
              </w:rPr>
              <w:t>全部按时学习的学生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855"/>
              <w:spacing w:before="78" w:line="175" w:lineRule="auto"/>
              <w:rPr/>
            </w:pPr>
            <w:r>
              <w:rPr/>
              <w:t>1</w:t>
            </w:r>
          </w:p>
        </w:tc>
      </w:tr>
      <w:tr>
        <w:trPr>
          <w:trHeight w:val="316" w:hRule="atLeast"/>
        </w:trPr>
        <w:tc>
          <w:tcPr>
            <w:tcW w:w="10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62" w:type="dxa"/>
            <w:vAlign w:val="top"/>
          </w:tcPr>
          <w:p>
            <w:pPr>
              <w:pStyle w:val="TableText"/>
              <w:ind w:left="233"/>
              <w:spacing w:before="39" w:line="205" w:lineRule="auto"/>
              <w:rPr/>
            </w:pPr>
            <w:r>
              <w:rPr>
                <w:color w:val="333333"/>
                <w:spacing w:val="-5"/>
              </w:rPr>
              <w:t>1-2</w:t>
            </w:r>
            <w:r>
              <w:rPr>
                <w:color w:val="333333"/>
                <w:spacing w:val="-30"/>
              </w:rPr>
              <w:t xml:space="preserve"> </w:t>
            </w:r>
            <w:r>
              <w:rPr>
                <w:color w:val="333333"/>
                <w:spacing w:val="-5"/>
              </w:rPr>
              <w:t>次(含</w:t>
            </w:r>
            <w:r>
              <w:rPr>
                <w:color w:val="333333"/>
                <w:spacing w:val="-49"/>
              </w:rPr>
              <w:t xml:space="preserve"> </w:t>
            </w:r>
            <w:r>
              <w:rPr>
                <w:color w:val="333333"/>
                <w:spacing w:val="-5"/>
              </w:rPr>
              <w:t>2</w:t>
            </w:r>
            <w:r>
              <w:rPr>
                <w:color w:val="333333"/>
                <w:spacing w:val="-44"/>
              </w:rPr>
              <w:t xml:space="preserve"> </w:t>
            </w:r>
            <w:r>
              <w:rPr>
                <w:color w:val="333333"/>
                <w:spacing w:val="-5"/>
              </w:rPr>
              <w:t>次)未按时学习的学生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720"/>
              <w:spacing w:before="81" w:line="173" w:lineRule="auto"/>
              <w:rPr/>
            </w:pPr>
            <w:r>
              <w:rPr>
                <w:spacing w:val="-4"/>
              </w:rPr>
              <w:t>0.6</w:t>
            </w:r>
          </w:p>
        </w:tc>
      </w:tr>
      <w:tr>
        <w:trPr>
          <w:trHeight w:val="628" w:hRule="atLeast"/>
        </w:trPr>
        <w:tc>
          <w:tcPr>
            <w:tcW w:w="10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62" w:type="dxa"/>
            <w:vAlign w:val="top"/>
          </w:tcPr>
          <w:p>
            <w:pPr>
              <w:pStyle w:val="TableText"/>
              <w:ind w:left="342" w:right="103" w:hanging="225"/>
              <w:spacing w:before="40" w:line="222" w:lineRule="auto"/>
              <w:rPr/>
            </w:pPr>
            <w:r>
              <w:rPr>
                <w:color w:val="333333"/>
                <w:spacing w:val="-4"/>
              </w:rPr>
              <w:t>3</w:t>
            </w:r>
            <w:r>
              <w:rPr>
                <w:color w:val="333333"/>
                <w:spacing w:val="-48"/>
              </w:rPr>
              <w:t xml:space="preserve"> </w:t>
            </w:r>
            <w:r>
              <w:rPr>
                <w:color w:val="333333"/>
                <w:spacing w:val="-4"/>
              </w:rPr>
              <w:t>次以上(含</w:t>
            </w:r>
            <w:r>
              <w:rPr>
                <w:color w:val="333333"/>
                <w:spacing w:val="-56"/>
              </w:rPr>
              <w:t xml:space="preserve"> </w:t>
            </w:r>
            <w:r>
              <w:rPr>
                <w:color w:val="333333"/>
                <w:spacing w:val="-4"/>
              </w:rPr>
              <w:t>3</w:t>
            </w:r>
            <w:r>
              <w:rPr>
                <w:color w:val="333333"/>
                <w:spacing w:val="-54"/>
              </w:rPr>
              <w:t xml:space="preserve"> </w:t>
            </w:r>
            <w:r>
              <w:rPr>
                <w:color w:val="333333"/>
                <w:spacing w:val="-4"/>
              </w:rPr>
              <w:t>次)未按时学习但观看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2"/>
              </w:rPr>
              <w:t>期数占总期数达</w:t>
            </w:r>
            <w:r>
              <w:rPr>
                <w:color w:val="333333"/>
                <w:spacing w:val="-47"/>
              </w:rPr>
              <w:t xml:space="preserve"> </w:t>
            </w:r>
            <w:r>
              <w:rPr>
                <w:color w:val="333333"/>
                <w:spacing w:val="-2"/>
              </w:rPr>
              <w:t>60%以上的学生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720"/>
              <w:spacing w:before="237" w:line="180" w:lineRule="auto"/>
              <w:rPr/>
            </w:pPr>
            <w:r>
              <w:rPr>
                <w:spacing w:val="-4"/>
              </w:rPr>
              <w:t>0.4</w:t>
            </w:r>
          </w:p>
        </w:tc>
      </w:tr>
      <w:tr>
        <w:trPr>
          <w:trHeight w:val="316" w:hRule="atLeast"/>
        </w:trPr>
        <w:tc>
          <w:tcPr>
            <w:tcW w:w="1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9" w:type="dxa"/>
            <w:vAlign w:val="top"/>
            <w:gridSpan w:val="2"/>
          </w:tcPr>
          <w:p>
            <w:pPr>
              <w:pStyle w:val="TableText"/>
              <w:ind w:left="783"/>
              <w:spacing w:before="40" w:line="204" w:lineRule="auto"/>
              <w:rPr/>
            </w:pPr>
            <w:r>
              <w:rPr>
                <w:spacing w:val="-3"/>
              </w:rPr>
              <w:t>其他思政、非学术讲座（1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分）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540"/>
              <w:spacing w:before="40" w:line="204" w:lineRule="auto"/>
              <w:rPr/>
            </w:pPr>
            <w:r>
              <w:rPr>
                <w:spacing w:val="-3"/>
              </w:rPr>
              <w:t>0.2/次</w:t>
            </w:r>
          </w:p>
        </w:tc>
      </w:tr>
      <w:tr>
        <w:trPr>
          <w:trHeight w:val="317" w:hRule="atLeast"/>
        </w:trPr>
        <w:tc>
          <w:tcPr>
            <w:tcW w:w="100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4" w:right="139" w:hanging="100"/>
              <w:spacing w:before="44" w:line="231" w:lineRule="auto"/>
              <w:jc w:val="both"/>
              <w:rPr/>
            </w:pPr>
            <w:r>
              <w:rPr>
                <w:spacing w:val="-6"/>
              </w:rPr>
              <w:t>其他项</w:t>
            </w:r>
            <w:r>
              <w:rPr/>
              <w:t xml:space="preserve"> </w:t>
            </w:r>
            <w:r>
              <w:rPr>
                <w:spacing w:val="-20"/>
              </w:rPr>
              <w:t>目（2</w:t>
            </w:r>
            <w:r>
              <w:rPr/>
              <w:t xml:space="preserve"> </w:t>
            </w:r>
            <w:r>
              <w:rPr/>
              <w:t>分）</w:t>
            </w:r>
          </w:p>
        </w:tc>
        <w:tc>
          <w:tcPr>
            <w:tcW w:w="4839" w:type="dxa"/>
            <w:vAlign w:val="top"/>
            <w:gridSpan w:val="2"/>
          </w:tcPr>
          <w:p>
            <w:pPr>
              <w:pStyle w:val="TableText"/>
              <w:ind w:left="1501"/>
              <w:spacing w:before="40" w:line="205" w:lineRule="auto"/>
              <w:rPr/>
            </w:pPr>
            <w:r>
              <w:rPr>
                <w:spacing w:val="-5"/>
              </w:rPr>
              <w:t>文体活动（1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分）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540"/>
              <w:spacing w:before="40" w:line="205" w:lineRule="auto"/>
              <w:rPr/>
            </w:pPr>
            <w:r>
              <w:rPr>
                <w:spacing w:val="-3"/>
              </w:rPr>
              <w:t>0.2/次</w:t>
            </w:r>
          </w:p>
        </w:tc>
      </w:tr>
      <w:tr>
        <w:trPr>
          <w:trHeight w:val="633" w:hRule="atLeast"/>
        </w:trPr>
        <w:tc>
          <w:tcPr>
            <w:tcW w:w="1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9" w:type="dxa"/>
            <w:vAlign w:val="top"/>
            <w:gridSpan w:val="2"/>
          </w:tcPr>
          <w:p>
            <w:pPr>
              <w:pStyle w:val="TableText"/>
              <w:ind w:left="519"/>
              <w:spacing w:before="199" w:line="222" w:lineRule="auto"/>
              <w:rPr/>
            </w:pPr>
            <w:r>
              <w:rPr>
                <w:spacing w:val="-5"/>
              </w:rPr>
              <w:t>三下乡、回乡调研（分别只加</w:t>
            </w:r>
            <w:r>
              <w:rPr>
                <w:spacing w:val="-20"/>
              </w:rPr>
              <w:t xml:space="preserve"> </w:t>
            </w:r>
            <w:r>
              <w:rPr>
                <w:spacing w:val="-5"/>
              </w:rPr>
              <w:t>1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次）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368" w:right="284" w:hanging="123"/>
              <w:spacing w:before="43" w:line="223" w:lineRule="auto"/>
              <w:rPr/>
            </w:pPr>
            <w:r>
              <w:rPr>
                <w:spacing w:val="-11"/>
              </w:rPr>
              <w:t>领队：0.5；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成员：0.2</w:t>
            </w:r>
          </w:p>
        </w:tc>
      </w:tr>
    </w:tbl>
    <w:p>
      <w:pPr>
        <w:pStyle w:val="BodyText"/>
        <w:spacing w:line="269" w:lineRule="auto"/>
        <w:rPr/>
      </w:pPr>
      <w:r/>
    </w:p>
    <w:p>
      <w:pPr>
        <w:ind w:left="129" w:right="916" w:firstLine="485"/>
        <w:spacing w:before="78" w:line="236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注：学院在活动前说明有加分的方可申请加分，具体以活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动通知及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公示计分；同一立项项目团队成员限加一次分；三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下乡实践活动和“</w:t>
      </w:r>
      <w:r>
        <w:rPr>
          <w:rFonts w:ascii="FangSong" w:hAnsi="FangSong" w:eastAsia="FangSong" w:cs="FangSong"/>
          <w:sz w:val="24"/>
          <w:szCs w:val="24"/>
          <w:color w:val="333333"/>
          <w:spacing w:val="-7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回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乡调研</w:t>
      </w:r>
      <w:r>
        <w:rPr>
          <w:rFonts w:ascii="FangSong" w:hAnsi="FangSong" w:eastAsia="FangSong" w:cs="FangSong"/>
          <w:sz w:val="24"/>
          <w:szCs w:val="24"/>
          <w:color w:val="333333"/>
          <w:spacing w:val="-84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”需以学校、学院公示名单或出具的证明为准，未公示或提供证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明的名单不能加分，加分需要提供现场图片及相关材料；由实验室自行</w:t>
      </w:r>
      <w:r>
        <w:rPr>
          <w:rFonts w:ascii="FangSong" w:hAnsi="FangSong" w:eastAsia="FangSong" w:cs="FangSong"/>
          <w:sz w:val="24"/>
          <w:szCs w:val="24"/>
          <w:color w:val="333333"/>
          <w:spacing w:val="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组织但未在学院备案的各类实践活动，均不能加分。</w:t>
      </w:r>
    </w:p>
    <w:p>
      <w:pPr>
        <w:pStyle w:val="BodyText"/>
        <w:spacing w:line="280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598"/>
        <w:spacing w:before="79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④扣分（</w:t>
      </w: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D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）</w:t>
      </w:r>
    </w:p>
    <w:p>
      <w:pPr>
        <w:ind w:left="126" w:right="733" w:firstLine="483"/>
        <w:spacing w:before="72" w:line="26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参评年度，受到学院通报批评的，第一次扣</w:t>
      </w:r>
      <w:r>
        <w:rPr>
          <w:rFonts w:ascii="FangSong" w:hAnsi="FangSong" w:eastAsia="FangSong" w:cs="FangSong"/>
          <w:sz w:val="24"/>
          <w:szCs w:val="24"/>
          <w:color w:val="333333"/>
          <w:spacing w:val="-46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2</w:t>
      </w:r>
      <w:r>
        <w:rPr>
          <w:rFonts w:ascii="Calibri" w:hAnsi="Calibri" w:eastAsia="Calibri" w:cs="Calibri"/>
          <w:sz w:val="24"/>
          <w:szCs w:val="24"/>
          <w:color w:val="333333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分，第二次及之后的每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次扣</w:t>
      </w:r>
      <w:r>
        <w:rPr>
          <w:rFonts w:ascii="Calibri" w:hAnsi="Calibri" w:eastAsia="Calibri" w:cs="Calibri"/>
          <w:sz w:val="24"/>
          <w:szCs w:val="24"/>
          <w:color w:val="333333"/>
          <w:spacing w:val="-7"/>
        </w:rPr>
        <w:t>4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分。党团员身份年度评议不合格者扣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7"/>
        </w:rPr>
        <w:t>10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分。若受批评者为集体（例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如班级、宿舍等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涉及的个人仍按以上标准扣分。</w:t>
      </w:r>
    </w:p>
    <w:p>
      <w:pPr>
        <w:spacing w:line="267" w:lineRule="auto"/>
        <w:sectPr>
          <w:footerReference w:type="default" r:id="rId12"/>
          <w:pgSz w:w="11906" w:h="16839"/>
          <w:pgMar w:top="1431" w:right="1785" w:bottom="1362" w:left="1689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29" w:right="798" w:firstLine="520"/>
        <w:spacing w:before="94" w:line="266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4"/>
        </w:rPr>
        <w:t>【特别说明】已获得“学业奖学金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4"/>
        </w:rPr>
        <w:t>”、“</w:t>
      </w:r>
      <w:r>
        <w:rPr>
          <w:rFonts w:ascii="FangSong" w:hAnsi="FangSong" w:eastAsia="FangSong" w:cs="FangSong"/>
          <w:sz w:val="24"/>
          <w:szCs w:val="24"/>
          <w:color w:val="333333"/>
          <w:spacing w:val="-75"/>
        </w:rPr>
        <w:t xml:space="preserve"> 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4"/>
        </w:rPr>
        <w:t>国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5"/>
        </w:rPr>
        <w:t>家奖学金”、企业或实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2"/>
        </w:rPr>
        <w:t>验室或个人设立的奖助学金、荣誉、优秀论文奖，不纳入加分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3"/>
        </w:rPr>
        <w:t>范畴。同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3"/>
        </w:rPr>
        <w:t>一活动（项目）在当年评优时间内，按最高级别加分。</w:t>
      </w:r>
    </w:p>
    <w:p>
      <w:pPr>
        <w:pStyle w:val="BodyText"/>
        <w:spacing w:line="321" w:lineRule="auto"/>
        <w:rPr/>
      </w:pPr>
      <w:r/>
    </w:p>
    <w:p>
      <w:pPr>
        <w:ind w:left="30"/>
        <w:spacing w:before="78" w:line="222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31" w:id="79"/>
      <w:bookmarkEnd w:id="79"/>
      <w:r>
        <w:rPr>
          <w:rFonts w:ascii="SimHei" w:hAnsi="SimHei" w:eastAsia="SimHei" w:cs="SimHei"/>
          <w:sz w:val="24"/>
          <w:szCs w:val="24"/>
          <w:color w:val="333333"/>
          <w:spacing w:val="-2"/>
        </w:rPr>
        <w:t>六、评审组织与程序</w:t>
      </w:r>
    </w:p>
    <w:p>
      <w:pPr>
        <w:ind w:left="514"/>
        <w:spacing w:before="72" w:line="222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32" w:id="80"/>
      <w:bookmarkEnd w:id="80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3"/>
        </w:rPr>
        <w:t>（一）成立学院研究生奖学金评审委员会</w:t>
      </w:r>
    </w:p>
    <w:p>
      <w:pPr>
        <w:ind w:left="29" w:right="657" w:firstLine="489"/>
        <w:spacing w:before="71" w:line="26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每年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7</w:t>
      </w:r>
      <w:r>
        <w:rPr>
          <w:rFonts w:ascii="Calibri" w:hAnsi="Calibri" w:eastAsia="Calibri" w:cs="Calibri"/>
          <w:sz w:val="24"/>
          <w:szCs w:val="24"/>
          <w:color w:val="333333"/>
          <w:spacing w:val="31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月，成立由学院党委书记任主任，学院党政领导、各系主任、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研究生辅导员、研究生教务员、导师代表、学生代表等为委员的研究生学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业奖学金评审委员会，负责组织我院研究生学业奖学</w:t>
      </w:r>
      <w:r>
        <w:rPr>
          <w:rFonts w:ascii="FangSong" w:hAnsi="FangSong" w:eastAsia="FangSong" w:cs="FangSong"/>
          <w:sz w:val="24"/>
          <w:szCs w:val="24"/>
          <w:color w:val="333333"/>
          <w:spacing w:val="-9"/>
        </w:rPr>
        <w:t>金的统筹领导、协调、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监督、审核及异议处理等工作。</w:t>
      </w:r>
    </w:p>
    <w:p>
      <w:pPr>
        <w:ind w:left="514"/>
        <w:spacing w:before="41" w:line="220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33" w:id="81"/>
      <w:bookmarkEnd w:id="81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3"/>
        </w:rPr>
        <w:t>（二）成立学院奖学金评比工作小组</w:t>
      </w:r>
    </w:p>
    <w:p>
      <w:pPr>
        <w:ind w:left="34" w:right="697" w:firstLine="483"/>
        <w:spacing w:before="72" w:line="271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每年</w:t>
      </w:r>
      <w:r>
        <w:rPr>
          <w:rFonts w:ascii="FangSong" w:hAnsi="FangSong" w:eastAsia="FangSong" w:cs="FangSong"/>
          <w:sz w:val="24"/>
          <w:szCs w:val="24"/>
          <w:color w:val="333333"/>
          <w:spacing w:val="-4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7</w:t>
      </w:r>
      <w:r>
        <w:rPr>
          <w:rFonts w:ascii="Calibri" w:hAnsi="Calibri" w:eastAsia="Calibri" w:cs="Calibri"/>
          <w:sz w:val="24"/>
          <w:szCs w:val="24"/>
          <w:color w:val="333333"/>
          <w:spacing w:val="3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月，成立学院奖学金评比工作小组，由辅导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员、研究生会相关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学生干部和年级学生代表组成，小组人数一般为</w:t>
      </w:r>
      <w:r>
        <w:rPr>
          <w:rFonts w:ascii="FangSong" w:hAnsi="FangSong" w:eastAsia="FangSong" w:cs="FangSong"/>
          <w:sz w:val="24"/>
          <w:szCs w:val="24"/>
          <w:color w:val="333333"/>
          <w:spacing w:val="-49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7-9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人，评比工作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小组的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主要职责为：向各班级传达学院通知和要求，汇总、复核和公示各班级的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奖学金评比材料；收集评比过程中出现的各种异议问题并及时讨论反馈；</w:t>
      </w:r>
      <w:r>
        <w:rPr>
          <w:rFonts w:ascii="FangSong" w:hAnsi="FangSong" w:eastAsia="FangSong" w:cs="FangSong"/>
          <w:sz w:val="24"/>
          <w:szCs w:val="24"/>
          <w:color w:val="333333"/>
          <w:spacing w:val="16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主动解释学生交流平台上遇到的各种问题。</w:t>
      </w:r>
    </w:p>
    <w:p>
      <w:pPr>
        <w:ind w:left="514"/>
        <w:spacing w:before="40" w:line="220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34" w:id="82"/>
      <w:bookmarkEnd w:id="82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3"/>
        </w:rPr>
        <w:t>（三）成立班级奖学金评比工作小组</w:t>
      </w:r>
    </w:p>
    <w:p>
      <w:pPr>
        <w:ind w:left="30" w:right="530" w:firstLine="487"/>
        <w:spacing w:before="71" w:line="272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每年</w:t>
      </w:r>
      <w:r>
        <w:rPr>
          <w:rFonts w:ascii="FangSong" w:hAnsi="FangSong" w:eastAsia="FangSong" w:cs="FangSong"/>
          <w:sz w:val="24"/>
          <w:szCs w:val="24"/>
          <w:color w:val="333333"/>
          <w:spacing w:val="-5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5"/>
        </w:rPr>
        <w:t>9</w:t>
      </w:r>
      <w:r>
        <w:rPr>
          <w:rFonts w:ascii="Calibri" w:hAnsi="Calibri" w:eastAsia="Calibri" w:cs="Calibri"/>
          <w:sz w:val="24"/>
          <w:szCs w:val="24"/>
          <w:color w:val="333333"/>
          <w:spacing w:val="3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月初，各班级成立由班主任、班长、团支书和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学生代表组成的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的班级奖学金评比工作小组，小组人数一般由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5-7</w:t>
      </w:r>
      <w:r>
        <w:rPr>
          <w:rFonts w:ascii="Calibri" w:hAnsi="Calibri" w:eastAsia="Calibri" w:cs="Calibri"/>
          <w:sz w:val="24"/>
          <w:szCs w:val="24"/>
          <w:color w:val="333333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人组成，具体成员由班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级讨论推荐产生并上报学院。班级奖学金评比工作小组的主要职责为：传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达学院通知和要求，汇总、复核和公示本班学生的奖学金评比材料；收集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评比过程中出现的各种异议问题并向年级奖学金评比工作小组反映；确保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各类上报材料的签字确认。奖学金评审小组会根据实际情况记录志愿时长。</w:t>
      </w:r>
    </w:p>
    <w:p>
      <w:pPr>
        <w:ind w:left="514"/>
        <w:spacing w:before="41" w:line="220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35" w:id="83"/>
      <w:bookmarkEnd w:id="83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5"/>
        </w:rPr>
        <w:t>（四）学生申请</w:t>
      </w:r>
    </w:p>
    <w:p>
      <w:pPr>
        <w:ind w:left="31" w:right="733" w:firstLine="477"/>
        <w:spacing w:before="75" w:line="266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研究生在规定时间向学院提出申请，并按相应的要求提交申请表及成</w:t>
      </w:r>
      <w:r>
        <w:rPr>
          <w:rFonts w:ascii="FangSong" w:hAnsi="FangSong" w:eastAsia="FangSong" w:cs="FangSong"/>
          <w:sz w:val="24"/>
          <w:szCs w:val="24"/>
          <w:color w:val="333333"/>
          <w:spacing w:val="1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果材料。未按时提交申请的，视为自动放弃申请学业奖学金。未在学院规</w:t>
      </w:r>
      <w:r>
        <w:rPr>
          <w:rFonts w:ascii="FangSong" w:hAnsi="FangSong" w:eastAsia="FangSong" w:cs="FangSong"/>
          <w:sz w:val="24"/>
          <w:szCs w:val="24"/>
          <w:color w:val="333333"/>
          <w:spacing w:val="1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定的截止时间前提交加分项证明材料的，视为放弃该加分项加分。</w:t>
      </w:r>
    </w:p>
    <w:p>
      <w:pPr>
        <w:ind w:left="29" w:right="650" w:firstLine="514"/>
        <w:spacing w:before="41" w:line="272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0"/>
        </w:rPr>
        <w:t>申请者所获的学术成果（科技项目、论文、专利、奖励等）、成绩单、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荣誉证书等必须附上原件（审核后现场返回）及复印件（论文附上期刊首</w:t>
      </w:r>
      <w:r>
        <w:rPr>
          <w:rFonts w:ascii="FangSong" w:hAnsi="FangSong" w:eastAsia="FangSong" w:cs="FangSong"/>
          <w:sz w:val="24"/>
          <w:szCs w:val="24"/>
          <w:color w:val="333333"/>
          <w:spacing w:val="15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8"/>
        </w:rPr>
        <w:t>页、目录及论文首页；科技项目提供带水印或加盖公章的项目参与者</w:t>
      </w:r>
      <w:r>
        <w:rPr>
          <w:rFonts w:ascii="FangSong" w:hAnsi="FangSong" w:eastAsia="FangSong" w:cs="FangSong"/>
          <w:sz w:val="24"/>
          <w:szCs w:val="24"/>
          <w:color w:val="333333"/>
          <w:spacing w:val="-9"/>
        </w:rPr>
        <w:t>页）。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研究生老生的“科学研究</w:t>
      </w:r>
      <w:r>
        <w:rPr>
          <w:rFonts w:ascii="FangSong" w:hAnsi="FangSong" w:eastAsia="FangSong" w:cs="FangSong"/>
          <w:sz w:val="24"/>
          <w:szCs w:val="24"/>
          <w:color w:val="333333"/>
          <w:spacing w:val="-8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”和“思想道德与社会实践</w:t>
      </w:r>
      <w:r>
        <w:rPr>
          <w:rFonts w:ascii="FangSong" w:hAnsi="FangSong" w:eastAsia="FangSong" w:cs="FangSong"/>
          <w:sz w:val="24"/>
          <w:szCs w:val="24"/>
          <w:color w:val="333333"/>
          <w:spacing w:val="-8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”的所有加分项目，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均要求在上一年</w:t>
      </w:r>
      <w:r>
        <w:rPr>
          <w:rFonts w:ascii="FangSong" w:hAnsi="FangSong" w:eastAsia="FangSong" w:cs="FangSong"/>
          <w:sz w:val="24"/>
          <w:szCs w:val="24"/>
          <w:color w:val="333333"/>
          <w:spacing w:val="-51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9</w:t>
      </w:r>
      <w:r>
        <w:rPr>
          <w:rFonts w:ascii="Calibri" w:hAnsi="Calibri" w:eastAsia="Calibri" w:cs="Calibri"/>
          <w:sz w:val="24"/>
          <w:szCs w:val="24"/>
          <w:color w:val="333333"/>
          <w:spacing w:val="3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月</w:t>
      </w:r>
      <w:r>
        <w:rPr>
          <w:rFonts w:ascii="FangSong" w:hAnsi="FangSong" w:eastAsia="FangSong" w:cs="FangSong"/>
          <w:sz w:val="24"/>
          <w:szCs w:val="24"/>
          <w:color w:val="333333"/>
          <w:spacing w:val="-4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1 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日至本年</w:t>
      </w:r>
      <w:r>
        <w:rPr>
          <w:rFonts w:ascii="FangSong" w:hAnsi="FangSong" w:eastAsia="FangSong" w:cs="FangSong"/>
          <w:sz w:val="24"/>
          <w:szCs w:val="24"/>
          <w:color w:val="333333"/>
          <w:spacing w:val="-5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8 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月</w:t>
      </w:r>
      <w:r>
        <w:rPr>
          <w:rFonts w:ascii="FangSong" w:hAnsi="FangSong" w:eastAsia="FangSong" w:cs="FangSong"/>
          <w:sz w:val="24"/>
          <w:szCs w:val="24"/>
          <w:color w:val="333333"/>
          <w:spacing w:val="-48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6"/>
        </w:rPr>
        <w:t>31 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日之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间发生。参评使用过的材料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均不能重复使用。</w:t>
      </w:r>
    </w:p>
    <w:p>
      <w:pPr>
        <w:ind w:left="514"/>
        <w:spacing w:before="39" w:line="220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36" w:id="84"/>
      <w:bookmarkEnd w:id="84"/>
      <w:r>
        <w:rPr>
          <w:rFonts w:ascii="FangSong" w:hAnsi="FangSong" w:eastAsia="FangSong" w:cs="FangSong"/>
          <w:sz w:val="24"/>
          <w:szCs w:val="24"/>
          <w:b/>
          <w:bCs/>
          <w:color w:val="333333"/>
          <w:spacing w:val="-5"/>
        </w:rPr>
        <w:t>（五）班级审核材料</w:t>
      </w:r>
    </w:p>
    <w:p>
      <w:pPr>
        <w:ind w:left="514"/>
        <w:spacing w:before="74" w:line="220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37" w:id="85"/>
      <w:bookmarkEnd w:id="85"/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1.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班级审核材料及公示</w:t>
      </w:r>
    </w:p>
    <w:p>
      <w:pPr>
        <w:ind w:left="48" w:right="733" w:firstLine="461"/>
        <w:spacing w:before="74" w:line="267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各班级奖学金评比工作小组对本班学生提交的申请材料进行审核，经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审核后，将每位学生的综合加分明细和所有加分证明材料在班级适当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范围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1"/>
        </w:rPr>
        <w:t>内公示</w:t>
      </w:r>
      <w:r>
        <w:rPr>
          <w:rFonts w:ascii="FangSong" w:hAnsi="FangSong" w:eastAsia="FangSong" w:cs="FangSong"/>
          <w:sz w:val="24"/>
          <w:szCs w:val="24"/>
          <w:color w:val="333333"/>
          <w:spacing w:val="-4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1"/>
        </w:rPr>
        <w:t>3</w:t>
      </w:r>
      <w:r>
        <w:rPr>
          <w:rFonts w:ascii="Calibri" w:hAnsi="Calibri" w:eastAsia="Calibri" w:cs="Calibri"/>
          <w:sz w:val="24"/>
          <w:szCs w:val="24"/>
          <w:color w:val="333333"/>
          <w:spacing w:val="2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1"/>
        </w:rPr>
        <w:t>天。</w:t>
      </w:r>
    </w:p>
    <w:p>
      <w:pPr>
        <w:spacing w:line="267" w:lineRule="auto"/>
        <w:sectPr>
          <w:footerReference w:type="default" r:id="rId13"/>
          <w:pgSz w:w="11906" w:h="16839"/>
          <w:pgMar w:top="1431" w:right="1785" w:bottom="1362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507"/>
        <w:spacing w:before="94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2.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班级上交材料</w:t>
      </w:r>
    </w:p>
    <w:p>
      <w:pPr>
        <w:ind w:left="510"/>
        <w:spacing w:before="74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各班级公示无异议后，于规定时间前将相关材料提交至学院。</w:t>
      </w:r>
    </w:p>
    <w:p>
      <w:pPr>
        <w:ind w:left="514"/>
        <w:spacing w:before="73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（七）确定奖学金获奖名单</w:t>
      </w:r>
    </w:p>
    <w:p>
      <w:pPr>
        <w:ind w:left="35" w:right="733" w:firstLine="484"/>
        <w:spacing w:before="72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学院奖学金评比工作小组对各班级上交的材料进行复核，并结合扣分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情况，初步确定排序和获奖等次，经学院公示无异议后推荐上报学校。</w:t>
      </w:r>
    </w:p>
    <w:p>
      <w:pPr>
        <w:ind w:left="33" w:right="733" w:firstLine="475"/>
        <w:spacing w:before="40" w:line="27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特别说明：为促进评比工作更加公平、公正、公开，学院奖学金评比</w:t>
      </w:r>
      <w:r>
        <w:rPr>
          <w:rFonts w:ascii="FangSong" w:hAnsi="FangSong" w:eastAsia="FangSong" w:cs="FangSong"/>
          <w:sz w:val="24"/>
          <w:szCs w:val="24"/>
          <w:color w:val="333333"/>
          <w:spacing w:val="1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工作小组全体成员的申请材料，经班级审核上报后，将由学院安排专门工</w:t>
      </w:r>
      <w:r>
        <w:rPr>
          <w:rFonts w:ascii="FangSong" w:hAnsi="FangSong" w:eastAsia="FangSong" w:cs="FangSong"/>
          <w:sz w:val="24"/>
          <w:szCs w:val="24"/>
          <w:color w:val="333333"/>
          <w:spacing w:val="1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作组（由老师与学生代表组成）对全部申请材料进行严格复核并进行单独</w:t>
      </w:r>
      <w:r>
        <w:rPr>
          <w:rFonts w:ascii="FangSong" w:hAnsi="FangSong" w:eastAsia="FangSong" w:cs="FangSong"/>
          <w:sz w:val="24"/>
          <w:szCs w:val="24"/>
          <w:color w:val="333333"/>
          <w:spacing w:val="1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7"/>
        </w:rPr>
        <w:t>公示。</w:t>
      </w:r>
    </w:p>
    <w:p>
      <w:pPr>
        <w:pStyle w:val="BodyText"/>
        <w:spacing w:line="336" w:lineRule="auto"/>
        <w:rPr/>
      </w:pPr>
      <w:r/>
    </w:p>
    <w:p>
      <w:pPr>
        <w:pStyle w:val="BodyText"/>
        <w:spacing w:line="336" w:lineRule="auto"/>
        <w:rPr/>
      </w:pPr>
      <w:r/>
    </w:p>
    <w:p>
      <w:pPr>
        <w:ind w:left="22"/>
        <w:spacing w:before="78" w:line="222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40" w:id="86"/>
      <w:bookmarkEnd w:id="86"/>
      <w:r>
        <w:rPr>
          <w:rFonts w:ascii="SimHei" w:hAnsi="SimHei" w:eastAsia="SimHei" w:cs="SimHei"/>
          <w:sz w:val="24"/>
          <w:szCs w:val="24"/>
          <w:color w:val="333333"/>
          <w:spacing w:val="-2"/>
        </w:rPr>
        <w:t>七、纪律要求</w:t>
      </w:r>
    </w:p>
    <w:p>
      <w:pPr>
        <w:ind w:left="514"/>
        <w:spacing w:before="71" w:line="220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41" w:id="87"/>
      <w:bookmarkEnd w:id="87"/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1.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奖学金申请者的纪律要求</w:t>
      </w:r>
    </w:p>
    <w:p>
      <w:pPr>
        <w:ind w:left="29" w:right="733" w:firstLine="480"/>
        <w:spacing w:before="73" w:line="27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研究生所提交的申请材料必须真实，如提交的材料明显是在评奖年度</w:t>
      </w:r>
      <w:r>
        <w:rPr>
          <w:rFonts w:ascii="FangSong" w:hAnsi="FangSong" w:eastAsia="FangSong" w:cs="FangSong"/>
          <w:sz w:val="24"/>
          <w:szCs w:val="24"/>
          <w:color w:val="333333"/>
          <w:spacing w:val="10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要求的时间范围之外，经学院奖学金评比工作小组裁定属实的，将在本次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奖学金评比中扣</w:t>
      </w:r>
      <w:r>
        <w:rPr>
          <w:rFonts w:ascii="FangSong" w:hAnsi="FangSong" w:eastAsia="FangSong" w:cs="FangSong"/>
          <w:sz w:val="24"/>
          <w:szCs w:val="24"/>
          <w:color w:val="333333"/>
          <w:spacing w:val="-30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2</w:t>
      </w:r>
      <w:r>
        <w:rPr>
          <w:rFonts w:ascii="Calibri" w:hAnsi="Calibri" w:eastAsia="Calibri" w:cs="Calibri"/>
          <w:sz w:val="24"/>
          <w:szCs w:val="24"/>
          <w:color w:val="333333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分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/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项；如出现弄虚作假或其它违反校规校纪的行为，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经学院奖学金评比工作小组裁定属实的，将立即取消违反者已获得的荣誉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证书、奖学金及其以后在读期间的一切评优资格，并根据《华南农业大学</w:t>
      </w:r>
      <w:r>
        <w:rPr>
          <w:rFonts w:ascii="FangSong" w:hAnsi="FangSong" w:eastAsia="FangSong" w:cs="FangSong"/>
          <w:sz w:val="24"/>
          <w:szCs w:val="24"/>
          <w:color w:val="333333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研究生违纪处分实施办法》（华南农办〔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2010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〕</w:t>
      </w: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83</w:t>
      </w:r>
      <w:r>
        <w:rPr>
          <w:rFonts w:ascii="Calibri" w:hAnsi="Calibri" w:eastAsia="Calibri" w:cs="Calibri"/>
          <w:sz w:val="24"/>
          <w:szCs w:val="24"/>
          <w:color w:val="333333"/>
          <w:spacing w:val="2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号）的规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定给予严肃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6"/>
        </w:rPr>
        <w:t>处理。</w:t>
      </w:r>
    </w:p>
    <w:p>
      <w:pPr>
        <w:ind w:left="507"/>
        <w:spacing w:before="46" w:line="220" w:lineRule="auto"/>
        <w:outlineLvl w:val="1"/>
        <w:rPr>
          <w:rFonts w:ascii="FangSong" w:hAnsi="FangSong" w:eastAsia="FangSong" w:cs="FangSong"/>
          <w:sz w:val="24"/>
          <w:szCs w:val="24"/>
        </w:rPr>
      </w:pPr>
      <w:bookmarkStart w:name="bookmark42" w:id="88"/>
      <w:bookmarkEnd w:id="88"/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2.</w:t>
      </w:r>
      <w:r>
        <w:rPr>
          <w:rFonts w:ascii="Calibri" w:hAnsi="Calibri" w:eastAsia="Calibri" w:cs="Calibri"/>
          <w:sz w:val="24"/>
          <w:szCs w:val="24"/>
          <w:color w:val="333333"/>
          <w:spacing w:val="-29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学院和班级评比工作小组成员的纪律要求</w:t>
      </w:r>
    </w:p>
    <w:p>
      <w:pPr>
        <w:ind w:left="29" w:right="694" w:firstLine="490"/>
        <w:spacing w:before="72" w:line="270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学院和班级评比工作小组成员务必认真、客观、公正开展评比工作，</w:t>
      </w:r>
      <w:r>
        <w:rPr>
          <w:rFonts w:ascii="FangSong" w:hAnsi="FangSong" w:eastAsia="FangSong" w:cs="FangSong"/>
          <w:sz w:val="24"/>
          <w:szCs w:val="24"/>
          <w:color w:val="333333"/>
          <w:spacing w:val="8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按时按进度完成各项工作任务，严格遵守评比工作纪律。对出现工作不负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责或违反纪律要求者，经学院研究生奖学金评审委员会查证属实的，将给</w:t>
      </w:r>
      <w:r>
        <w:rPr>
          <w:rFonts w:ascii="FangSong" w:hAnsi="FangSong" w:eastAsia="FangSong" w:cs="FangSong"/>
          <w:sz w:val="24"/>
          <w:szCs w:val="24"/>
          <w:color w:val="333333"/>
          <w:spacing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予通报批评以上（含通报批评）处分。</w:t>
      </w:r>
    </w:p>
    <w:p>
      <w:pPr>
        <w:pStyle w:val="BodyText"/>
        <w:spacing w:line="318" w:lineRule="auto"/>
        <w:rPr/>
      </w:pPr>
      <w:r/>
    </w:p>
    <w:p>
      <w:pPr>
        <w:ind w:left="23"/>
        <w:spacing w:before="78" w:line="221" w:lineRule="auto"/>
        <w:outlineLvl w:val="0"/>
        <w:rPr>
          <w:rFonts w:ascii="SimHei" w:hAnsi="SimHei" w:eastAsia="SimHei" w:cs="SimHei"/>
          <w:sz w:val="24"/>
          <w:szCs w:val="24"/>
        </w:rPr>
      </w:pPr>
      <w:bookmarkStart w:name="bookmark43" w:id="89"/>
      <w:bookmarkEnd w:id="89"/>
      <w:r>
        <w:rPr>
          <w:rFonts w:ascii="SimHei" w:hAnsi="SimHei" w:eastAsia="SimHei" w:cs="SimHei"/>
          <w:sz w:val="24"/>
          <w:szCs w:val="24"/>
          <w:color w:val="333333"/>
          <w:spacing w:val="-2"/>
        </w:rPr>
        <w:t>八、其他说明</w:t>
      </w:r>
    </w:p>
    <w:p>
      <w:pPr>
        <w:ind w:left="34" w:right="736" w:firstLine="479"/>
        <w:spacing w:before="73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4"/>
        </w:rPr>
        <w:t>1.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已确认获得国家奖学金的研究生（含新生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和老生</w:t>
      </w:r>
      <w:r>
        <w:rPr>
          <w:rFonts w:ascii="FangSong" w:hAnsi="FangSong" w:eastAsia="FangSong" w:cs="FangSong"/>
          <w:sz w:val="24"/>
          <w:szCs w:val="24"/>
          <w:color w:val="333333"/>
          <w:spacing w:val="7"/>
        </w:rPr>
        <w:t>），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当年度的学业</w:t>
      </w:r>
      <w:r>
        <w:rPr>
          <w:rFonts w:ascii="FangSong" w:hAnsi="FangSong" w:eastAsia="FangSong" w:cs="FangSong"/>
          <w:sz w:val="24"/>
          <w:szCs w:val="24"/>
          <w:color w:val="333333"/>
          <w:spacing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奖学金等次自动列为二等奖（推免入读的硕士生新生除外）。</w:t>
      </w:r>
    </w:p>
    <w:p>
      <w:pPr>
        <w:ind w:left="34" w:right="733" w:firstLine="472"/>
        <w:spacing w:before="40" w:line="26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2.</w:t>
      </w:r>
      <w:r>
        <w:rPr>
          <w:rFonts w:ascii="Calibri" w:hAnsi="Calibri" w:eastAsia="Calibri" w:cs="Calibri"/>
          <w:sz w:val="24"/>
          <w:szCs w:val="24"/>
          <w:color w:val="333333"/>
          <w:spacing w:val="-1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为探索更加科学的奖学金评比思路，各学科、各实验室认为有必要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单独设立奖学金评选办法的，经学科或实验室提出，学院研究生奖学金评</w:t>
      </w:r>
      <w:r>
        <w:rPr>
          <w:rFonts w:ascii="FangSong" w:hAnsi="FangSong" w:eastAsia="FangSong" w:cs="FangSong"/>
          <w:sz w:val="24"/>
          <w:szCs w:val="24"/>
          <w:color w:val="333333"/>
          <w:spacing w:val="12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审委员会认为条件成熟并讨论同意的，可试点实施。</w:t>
      </w:r>
    </w:p>
    <w:p>
      <w:pPr>
        <w:ind w:left="48" w:right="733" w:firstLine="457"/>
        <w:spacing w:before="42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2"/>
        </w:rPr>
        <w:t>3.</w:t>
      </w:r>
      <w:r>
        <w:rPr>
          <w:rFonts w:ascii="FangSong" w:hAnsi="FangSong" w:eastAsia="FangSong" w:cs="FangSong"/>
          <w:sz w:val="24"/>
          <w:szCs w:val="24"/>
          <w:color w:val="333333"/>
          <w:spacing w:val="-2"/>
        </w:rPr>
        <w:t>本细则未规定的加分事项，或有争议事项，由研究生奖学金评审委</w:t>
      </w:r>
      <w:r>
        <w:rPr>
          <w:rFonts w:ascii="FangSong" w:hAnsi="FangSong" w:eastAsia="FangSong" w:cs="FangSong"/>
          <w:sz w:val="24"/>
          <w:szCs w:val="24"/>
          <w:color w:val="333333"/>
          <w:spacing w:val="1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5"/>
        </w:rPr>
        <w:t>员会研究审定。</w:t>
      </w:r>
    </w:p>
    <w:p>
      <w:pPr>
        <w:ind w:left="30" w:right="937" w:firstLine="468"/>
        <w:spacing w:before="38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1"/>
        </w:rPr>
        <w:t>4.</w:t>
      </w:r>
      <w:r>
        <w:rPr>
          <w:rFonts w:ascii="Calibri" w:hAnsi="Calibri" w:eastAsia="Calibri" w:cs="Calibri"/>
          <w:sz w:val="24"/>
          <w:szCs w:val="24"/>
          <w:color w:val="333333"/>
          <w:spacing w:val="-3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1"/>
        </w:rPr>
        <w:t>每学年的综合测评分排名和相关分值将作为其他各类奖助学金的</w:t>
      </w:r>
      <w:r>
        <w:rPr>
          <w:rFonts w:ascii="FangSong" w:hAnsi="FangSong" w:eastAsia="FangSong" w:cs="FangSong"/>
          <w:sz w:val="24"/>
          <w:szCs w:val="24"/>
          <w:color w:val="333333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4"/>
        </w:rPr>
        <w:t>评比依据。</w:t>
      </w:r>
    </w:p>
    <w:p>
      <w:pPr>
        <w:ind w:left="505" w:right="3614"/>
        <w:spacing w:before="39" w:line="26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5.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本办法由植物保护学院党委负责解释。</w:t>
      </w:r>
      <w:r>
        <w:rPr>
          <w:rFonts w:ascii="FangSong" w:hAnsi="FangSong" w:eastAsia="FangSong" w:cs="FangSong"/>
          <w:sz w:val="24"/>
          <w:szCs w:val="24"/>
          <w:color w:val="333333"/>
          <w:spacing w:val="7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6.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本办法从</w:t>
      </w:r>
      <w:r>
        <w:rPr>
          <w:rFonts w:ascii="FangSong" w:hAnsi="FangSong" w:eastAsia="FangSong" w:cs="FangSong"/>
          <w:sz w:val="24"/>
          <w:szCs w:val="24"/>
          <w:color w:val="333333"/>
          <w:spacing w:val="-33"/>
        </w:rPr>
        <w:t xml:space="preserve"> </w:t>
      </w:r>
      <w:r>
        <w:rPr>
          <w:rFonts w:ascii="Calibri" w:hAnsi="Calibri" w:eastAsia="Calibri" w:cs="Calibri"/>
          <w:sz w:val="24"/>
          <w:szCs w:val="24"/>
          <w:color w:val="333333"/>
          <w:spacing w:val="-3"/>
        </w:rPr>
        <w:t>2022-2023</w:t>
      </w:r>
      <w:r>
        <w:rPr>
          <w:rFonts w:ascii="Calibri" w:hAnsi="Calibri" w:eastAsia="Calibri" w:cs="Calibri"/>
          <w:sz w:val="24"/>
          <w:szCs w:val="24"/>
          <w:color w:val="333333"/>
          <w:spacing w:val="31"/>
        </w:rPr>
        <w:t xml:space="preserve"> </w:t>
      </w:r>
      <w:r>
        <w:rPr>
          <w:rFonts w:ascii="FangSong" w:hAnsi="FangSong" w:eastAsia="FangSong" w:cs="FangSong"/>
          <w:sz w:val="24"/>
          <w:szCs w:val="24"/>
          <w:color w:val="333333"/>
          <w:spacing w:val="-3"/>
        </w:rPr>
        <w:t>学年开始实施。</w:t>
      </w:r>
    </w:p>
    <w:p>
      <w:pPr>
        <w:spacing w:line="262" w:lineRule="auto"/>
        <w:sectPr>
          <w:footerReference w:type="default" r:id="rId14"/>
          <w:pgSz w:w="11906" w:h="16839"/>
          <w:pgMar w:top="1431" w:right="1785" w:bottom="1362" w:left="1785" w:header="0" w:footer="1200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pStyle w:val="BodyText"/>
        <w:spacing w:line="373" w:lineRule="auto"/>
        <w:rPr/>
      </w:pPr>
      <w:r/>
    </w:p>
    <w:p>
      <w:pPr>
        <w:ind w:left="4730"/>
        <w:spacing w:before="78" w:line="221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color w:val="333333"/>
          <w:spacing w:val="-1"/>
        </w:rPr>
        <w:t>华南农业大学植物保护学院</w:t>
      </w:r>
    </w:p>
    <w:p>
      <w:pPr>
        <w:ind w:left="6340"/>
        <w:spacing w:before="72" w:line="223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2024</w:t>
      </w:r>
      <w:r>
        <w:rPr>
          <w:rFonts w:ascii="SimHei" w:hAnsi="SimHei" w:eastAsia="SimHei" w:cs="SimHei"/>
          <w:sz w:val="24"/>
          <w:szCs w:val="24"/>
          <w:spacing w:val="-4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年</w:t>
      </w:r>
      <w:r>
        <w:rPr>
          <w:rFonts w:ascii="SimHei" w:hAnsi="SimHei" w:eastAsia="SimHei" w:cs="SimHei"/>
          <w:sz w:val="24"/>
          <w:szCs w:val="24"/>
          <w:spacing w:val="-5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4</w:t>
      </w:r>
      <w:r>
        <w:rPr>
          <w:rFonts w:ascii="SimHei" w:hAnsi="SimHei" w:eastAsia="SimHei" w:cs="SimHei"/>
          <w:sz w:val="24"/>
          <w:szCs w:val="24"/>
          <w:spacing w:val="-4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月</w:t>
      </w:r>
    </w:p>
    <w:sectPr>
      <w:footerReference w:type="default" r:id="rId15"/>
      <w:pgSz w:w="11906" w:h="16839"/>
      <w:pgMar w:top="1431" w:right="1785" w:bottom="1362" w:left="1785" w:header="0" w:footer="12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1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3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正钦</dc:creator>
  <dcterms:created xsi:type="dcterms:W3CDTF">2024-04-15T17:12:00Z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2024-10-23T11:19:01</vt:filetime>
  </property>
</Properties>
</file>